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407"/>
        <w:gridCol w:w="2968"/>
        <w:gridCol w:w="1587"/>
        <w:gridCol w:w="2759"/>
        <w:gridCol w:w="2012"/>
        <w:gridCol w:w="646"/>
        <w:gridCol w:w="488"/>
        <w:gridCol w:w="2127"/>
      </w:tblGrid>
      <w:tr w:rsidR="00E57FB5" w:rsidRPr="0038312D" w14:paraId="2D1F60EE" w14:textId="77777777" w:rsidTr="003D535D">
        <w:trPr>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D9D9D9"/>
          </w:tcPr>
          <w:p w14:paraId="611558A2" w14:textId="77777777" w:rsidR="00E57FB5" w:rsidRPr="0038312D" w:rsidRDefault="00E57FB5" w:rsidP="003D535D">
            <w:pPr>
              <w:pStyle w:val="ListParagraph"/>
              <w:numPr>
                <w:ilvl w:val="0"/>
                <w:numId w:val="3"/>
              </w:numPr>
              <w:spacing w:before="120" w:after="120" w:line="240" w:lineRule="auto"/>
              <w:ind w:left="224" w:hanging="224"/>
              <w:jc w:val="both"/>
              <w:rPr>
                <w:rFonts w:ascii="Times New Roman" w:eastAsia="Calibri" w:hAnsi="Times New Roman" w:cs="Times New Roman"/>
                <w:sz w:val="18"/>
                <w:szCs w:val="18"/>
                <w:lang w:val="sr-Cyrl-CS"/>
              </w:rPr>
            </w:pPr>
            <w:bookmarkStart w:id="0" w:name="_GoBack"/>
            <w:bookmarkEnd w:id="0"/>
            <w:r w:rsidRPr="0038312D">
              <w:rPr>
                <w:rFonts w:ascii="Times New Roman" w:eastAsia="Calibri" w:hAnsi="Times New Roman" w:cs="Times New Roman"/>
                <w:sz w:val="18"/>
                <w:szCs w:val="18"/>
                <w:lang w:val="sr-Cyrl-CS"/>
              </w:rPr>
              <w:t>Naziv propisa Evropske unije</w:t>
            </w:r>
            <w:r w:rsidRPr="0038312D" w:rsidDel="00C32699">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lang w:val="sr-Cyrl-CS"/>
              </w:rPr>
              <w:t xml:space="preserve">: </w:t>
            </w:r>
          </w:p>
          <w:p w14:paraId="0AF6176C"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UREDBA (EU) 2022/869 Evropskog parlamenta i Veća od 30. maja 2022. godine o smernicama za transevropsku energetsku infrastrukturu, izmeni uredaba (EZ) br. 715/2009, (EU) 2019/942 i (EU) 2019/943 i direktiva 2009/73/EZ i (EU) 2019/944 i stavljanju van snage Uredbe (EU) br. 347/2013 (</w:t>
            </w:r>
            <w:r w:rsidRPr="0038312D">
              <w:rPr>
                <w:rFonts w:ascii="Times New Roman" w:eastAsia="Calibri" w:hAnsi="Times New Roman" w:cs="Times New Roman"/>
                <w:i/>
                <w:iCs/>
                <w:sz w:val="18"/>
                <w:szCs w:val="18"/>
                <w:lang w:val="sr-Cyrl-CS"/>
              </w:rPr>
              <w:t>Sl. list br.</w:t>
            </w:r>
            <w:r w:rsidRPr="0038312D">
              <w:rPr>
                <w:rFonts w:ascii="Times New Roman" w:eastAsia="Calibri" w:hAnsi="Times New Roman" w:cs="Times New Roman"/>
                <w:i/>
                <w:iCs/>
                <w:sz w:val="18"/>
                <w:szCs w:val="18"/>
              </w:rPr>
              <w:t xml:space="preserve"> 152, 3.6.2022, </w:t>
            </w:r>
            <w:r w:rsidRPr="0038312D">
              <w:rPr>
                <w:rFonts w:ascii="Times New Roman" w:eastAsia="Calibri" w:hAnsi="Times New Roman" w:cs="Times New Roman"/>
                <w:i/>
                <w:iCs/>
                <w:sz w:val="18"/>
                <w:szCs w:val="18"/>
                <w:lang w:val="sr-Cyrl-CS"/>
              </w:rPr>
              <w:t>str.</w:t>
            </w:r>
            <w:r w:rsidRPr="0038312D">
              <w:rPr>
                <w:rFonts w:ascii="Times New Roman" w:eastAsia="Calibri" w:hAnsi="Times New Roman" w:cs="Times New Roman"/>
                <w:i/>
                <w:iCs/>
                <w:sz w:val="18"/>
                <w:szCs w:val="18"/>
              </w:rPr>
              <w:t>. 45–102</w:t>
            </w:r>
            <w:r w:rsidRPr="0038312D">
              <w:rPr>
                <w:rFonts w:ascii="Times New Roman" w:eastAsia="Calibri" w:hAnsi="Times New Roman" w:cs="Times New Roman"/>
                <w:i/>
                <w:iCs/>
                <w:sz w:val="18"/>
                <w:szCs w:val="18"/>
                <w:lang w:val="sr-Cyrl-CS"/>
              </w:rPr>
              <w:t>)</w:t>
            </w:r>
          </w:p>
          <w:p w14:paraId="1DED322C"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rPr>
              <w:t>REGULATION (EU) 2022/869 OF THE EUROPEAN PARLIAMENT AND OF THE COUNCIL of 30 May 2022 on guidelines for trans-European energy infrastructure, amending Regulations (EC) No 715/2009, (EU) 2019/942 and (EU) 2019/943 and Directives 2009/73/EC and (EU) 2019/944, and repealing Regulation (EU) No 347/2013 (</w:t>
            </w:r>
            <w:r w:rsidRPr="0038312D">
              <w:rPr>
                <w:rFonts w:ascii="Times New Roman" w:eastAsia="Calibri" w:hAnsi="Times New Roman" w:cs="Times New Roman"/>
                <w:i/>
                <w:iCs/>
                <w:sz w:val="18"/>
                <w:szCs w:val="18"/>
              </w:rPr>
              <w:t>OJ L 152, 3.6.2022, p. 45–102)</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cPr>
          <w:p w14:paraId="2FAA94B5" w14:textId="77777777" w:rsidR="00E57FB5" w:rsidRPr="0038312D" w:rsidRDefault="00E57FB5" w:rsidP="003D535D">
            <w:pPr>
              <w:spacing w:before="120" w:after="12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lang w:val="ru-RU"/>
              </w:rPr>
              <w:t>2. „CELEX” oznaka EU propisa</w:t>
            </w:r>
          </w:p>
          <w:p w14:paraId="3E17AB9C" w14:textId="77777777" w:rsidR="00E57FB5" w:rsidRPr="0038312D" w:rsidRDefault="00E57FB5" w:rsidP="003D535D">
            <w:pPr>
              <w:spacing w:before="120" w:after="12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rPr>
              <w:t>32022R0869</w:t>
            </w:r>
          </w:p>
        </w:tc>
      </w:tr>
      <w:tr w:rsidR="00E57FB5" w:rsidRPr="0038312D" w14:paraId="6734573B" w14:textId="77777777" w:rsidTr="003D535D">
        <w:trPr>
          <w:jc w:val="center"/>
        </w:trPr>
        <w:tc>
          <w:tcPr>
            <w:tcW w:w="0" w:type="auto"/>
            <w:gridSpan w:val="6"/>
            <w:tcBorders>
              <w:top w:val="single" w:sz="4" w:space="0" w:color="auto"/>
              <w:left w:val="single" w:sz="4" w:space="0" w:color="auto"/>
              <w:bottom w:val="single" w:sz="4" w:space="0" w:color="auto"/>
              <w:right w:val="single" w:sz="4" w:space="0" w:color="auto"/>
            </w:tcBorders>
          </w:tcPr>
          <w:p w14:paraId="27D65B76" w14:textId="77777777" w:rsidR="00E57FB5" w:rsidRPr="0038312D" w:rsidRDefault="00E57FB5" w:rsidP="003D535D">
            <w:pPr>
              <w:tabs>
                <w:tab w:val="left" w:pos="6105"/>
              </w:tabs>
              <w:spacing w:after="0" w:line="240" w:lineRule="auto"/>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3. O</w:t>
            </w:r>
            <w:r w:rsidRPr="0038312D">
              <w:rPr>
                <w:rFonts w:ascii="Times New Roman" w:eastAsia="Calibri" w:hAnsi="Times New Roman" w:cs="Times New Roman"/>
                <w:sz w:val="18"/>
                <w:szCs w:val="18"/>
                <w:lang w:val="sr-Cyrl-CS"/>
              </w:rPr>
              <w:t>vlašćeni predlagač propisa:  Vlada</w:t>
            </w:r>
          </w:p>
        </w:tc>
        <w:tc>
          <w:tcPr>
            <w:tcW w:w="0" w:type="auto"/>
            <w:gridSpan w:val="2"/>
            <w:tcBorders>
              <w:top w:val="single" w:sz="4" w:space="0" w:color="auto"/>
              <w:left w:val="single" w:sz="4" w:space="0" w:color="auto"/>
              <w:bottom w:val="single" w:sz="4" w:space="0" w:color="auto"/>
              <w:right w:val="single" w:sz="4" w:space="0" w:color="auto"/>
            </w:tcBorders>
          </w:tcPr>
          <w:p w14:paraId="657F7EE7" w14:textId="77777777" w:rsidR="00E57FB5" w:rsidRPr="0038312D" w:rsidRDefault="00E57FB5" w:rsidP="003D535D">
            <w:pPr>
              <w:spacing w:after="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lang w:val="ru-RU"/>
              </w:rPr>
              <w:t xml:space="preserve">4. Datum izrade tabele: </w:t>
            </w:r>
          </w:p>
        </w:tc>
      </w:tr>
      <w:tr w:rsidR="00E57FB5" w:rsidRPr="0038312D" w14:paraId="0AB28555" w14:textId="77777777" w:rsidTr="003D535D">
        <w:trPr>
          <w:jc w:val="center"/>
        </w:trPr>
        <w:tc>
          <w:tcPr>
            <w:tcW w:w="0" w:type="auto"/>
            <w:gridSpan w:val="6"/>
            <w:tcBorders>
              <w:top w:val="single" w:sz="4" w:space="0" w:color="auto"/>
              <w:left w:val="single" w:sz="4" w:space="0" w:color="auto"/>
              <w:bottom w:val="single" w:sz="4" w:space="0" w:color="auto"/>
              <w:right w:val="single" w:sz="4" w:space="0" w:color="auto"/>
            </w:tcBorders>
          </w:tcPr>
          <w:p w14:paraId="5E03612D" w14:textId="77777777" w:rsidR="00E57FB5" w:rsidRPr="0038312D" w:rsidRDefault="00E57FB5" w:rsidP="003D535D">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Obrađivač: Ministarstvo rudarstva i energetike</w:t>
            </w:r>
          </w:p>
        </w:tc>
        <w:tc>
          <w:tcPr>
            <w:tcW w:w="0" w:type="auto"/>
            <w:gridSpan w:val="2"/>
            <w:tcBorders>
              <w:top w:val="single" w:sz="4" w:space="0" w:color="auto"/>
              <w:left w:val="single" w:sz="4" w:space="0" w:color="auto"/>
              <w:bottom w:val="single" w:sz="4" w:space="0" w:color="auto"/>
              <w:right w:val="single" w:sz="4" w:space="0" w:color="auto"/>
            </w:tcBorders>
          </w:tcPr>
          <w:p w14:paraId="42B3E705" w14:textId="77777777" w:rsidR="00E57FB5" w:rsidRPr="0038312D" w:rsidRDefault="00E57FB5" w:rsidP="003D535D">
            <w:pPr>
              <w:spacing w:after="0" w:line="240" w:lineRule="auto"/>
              <w:jc w:val="both"/>
              <w:rPr>
                <w:rFonts w:ascii="Times New Roman" w:eastAsia="Calibri" w:hAnsi="Times New Roman" w:cs="Times New Roman"/>
                <w:iCs/>
                <w:sz w:val="18"/>
                <w:szCs w:val="18"/>
                <w:lang w:val="sr-Cyrl-CS"/>
              </w:rPr>
            </w:pPr>
            <w:r w:rsidRPr="0038312D">
              <w:rPr>
                <w:rFonts w:ascii="Times New Roman" w:eastAsia="Calibri" w:hAnsi="Times New Roman" w:cs="Times New Roman"/>
                <w:iCs/>
                <w:sz w:val="18"/>
                <w:szCs w:val="18"/>
                <w:lang w:val="sr-Latn-CS"/>
              </w:rPr>
              <w:t xml:space="preserve">24. </w:t>
            </w:r>
            <w:r w:rsidRPr="0038312D">
              <w:rPr>
                <w:rFonts w:ascii="Times New Roman" w:eastAsia="Calibri" w:hAnsi="Times New Roman" w:cs="Times New Roman"/>
                <w:iCs/>
                <w:sz w:val="18"/>
                <w:szCs w:val="18"/>
                <w:lang w:val="sr-Cyrl-CS"/>
              </w:rPr>
              <w:t>oktobar 2024. godine</w:t>
            </w:r>
          </w:p>
        </w:tc>
      </w:tr>
      <w:tr w:rsidR="00E57FB5" w:rsidRPr="0038312D" w14:paraId="1861527A" w14:textId="77777777" w:rsidTr="003D535D">
        <w:trPr>
          <w:jc w:val="center"/>
        </w:trPr>
        <w:tc>
          <w:tcPr>
            <w:tcW w:w="0" w:type="auto"/>
            <w:gridSpan w:val="6"/>
            <w:tcBorders>
              <w:top w:val="single" w:sz="4" w:space="0" w:color="auto"/>
              <w:left w:val="single" w:sz="4" w:space="0" w:color="auto"/>
              <w:bottom w:val="single" w:sz="4" w:space="0" w:color="auto"/>
              <w:right w:val="single" w:sz="4" w:space="0" w:color="auto"/>
            </w:tcBorders>
          </w:tcPr>
          <w:p w14:paraId="7DB1D189" w14:textId="77777777" w:rsidR="00E57FB5" w:rsidRPr="0038312D" w:rsidRDefault="00E57FB5" w:rsidP="003D535D">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5. Naziv</w:t>
            </w:r>
          </w:p>
          <w:p w14:paraId="29C075CC" w14:textId="77777777" w:rsidR="00E57FB5" w:rsidRDefault="00E57FB5" w:rsidP="003D535D">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01. </w:t>
            </w:r>
            <w:r>
              <w:rPr>
                <w:rFonts w:ascii="Times New Roman" w:eastAsia="Calibri" w:hAnsi="Times New Roman" w:cs="Times New Roman"/>
                <w:sz w:val="18"/>
                <w:szCs w:val="18"/>
                <w:lang w:val="sr-Cyrl-CS"/>
              </w:rPr>
              <w:t>Predlog</w:t>
            </w:r>
            <w:r w:rsidRPr="0038312D">
              <w:rPr>
                <w:rFonts w:ascii="Times New Roman" w:eastAsia="Calibri" w:hAnsi="Times New Roman" w:cs="Times New Roman"/>
                <w:sz w:val="18"/>
                <w:szCs w:val="18"/>
                <w:lang w:val="sr-Cyrl-CS"/>
              </w:rPr>
              <w:t xml:space="preserve"> zakona o izemanama  i dopunama  Zakona o energetici</w:t>
            </w:r>
          </w:p>
          <w:p w14:paraId="5773E4DB" w14:textId="77777777" w:rsidR="00E57FB5" w:rsidRPr="0038312D" w:rsidRDefault="00E57FB5" w:rsidP="003D535D">
            <w:pPr>
              <w:spacing w:after="0" w:line="240" w:lineRule="auto"/>
              <w:jc w:val="both"/>
              <w:rPr>
                <w:rFonts w:ascii="Times New Roman" w:eastAsia="Calibri" w:hAnsi="Times New Roman" w:cs="Times New Roman"/>
                <w:sz w:val="18"/>
                <w:szCs w:val="18"/>
                <w:lang w:val="sr-Cyrl-CS"/>
              </w:rPr>
            </w:pPr>
            <w:r w:rsidRPr="00357E0E">
              <w:rPr>
                <w:rFonts w:ascii="Times New Roman" w:eastAsia="Calibri" w:hAnsi="Times New Roman" w:cs="Times New Roman"/>
                <w:sz w:val="18"/>
                <w:szCs w:val="18"/>
                <w:lang w:val="sr-Cyrl-CS"/>
              </w:rPr>
              <w:t>Draft  Law  on Amendmets of Law of Energy</w:t>
            </w:r>
          </w:p>
        </w:tc>
        <w:tc>
          <w:tcPr>
            <w:tcW w:w="0" w:type="auto"/>
            <w:gridSpan w:val="2"/>
            <w:tcBorders>
              <w:top w:val="single" w:sz="4" w:space="0" w:color="auto"/>
              <w:left w:val="single" w:sz="4" w:space="0" w:color="auto"/>
              <w:bottom w:val="single" w:sz="4" w:space="0" w:color="auto"/>
              <w:right w:val="single" w:sz="4" w:space="0" w:color="auto"/>
            </w:tcBorders>
          </w:tcPr>
          <w:p w14:paraId="141F85EB" w14:textId="77777777" w:rsidR="00E57FB5" w:rsidRPr="0038312D" w:rsidRDefault="00E57FB5" w:rsidP="003D535D">
            <w:pPr>
              <w:spacing w:before="120" w:after="120" w:line="240" w:lineRule="auto"/>
              <w:jc w:val="both"/>
              <w:rPr>
                <w:rFonts w:ascii="Times New Roman" w:eastAsia="Calibri" w:hAnsi="Times New Roman" w:cs="Times New Roman"/>
                <w:iCs/>
                <w:sz w:val="18"/>
                <w:szCs w:val="18"/>
                <w:lang w:val="sr-Latn-CS"/>
              </w:rPr>
            </w:pPr>
            <w:r w:rsidRPr="0038312D">
              <w:rPr>
                <w:rFonts w:ascii="Times New Roman" w:eastAsia="Calibri" w:hAnsi="Times New Roman" w:cs="Times New Roman"/>
                <w:iCs/>
                <w:sz w:val="18"/>
                <w:szCs w:val="18"/>
                <w:lang w:val="ru-RU"/>
              </w:rPr>
              <w:t>6. Brojčane oznake (šifre) planiranih propisa iz baze NPAA:</w:t>
            </w:r>
            <w:r w:rsidRPr="0038312D">
              <w:rPr>
                <w:rFonts w:ascii="Times New Roman" w:eastAsia="Calibri" w:hAnsi="Times New Roman" w:cs="Times New Roman"/>
                <w:iCs/>
                <w:sz w:val="18"/>
                <w:szCs w:val="18"/>
                <w:lang w:val="sr-Latn-CS"/>
              </w:rPr>
              <w:t xml:space="preserve">  </w:t>
            </w:r>
            <w:r w:rsidRPr="0038312D">
              <w:rPr>
                <w:rFonts w:ascii="Times New Roman" w:hAnsi="Times New Roman" w:cs="Times New Roman"/>
                <w:sz w:val="18"/>
                <w:szCs w:val="18"/>
              </w:rPr>
              <w:t>2024-268</w:t>
            </w:r>
          </w:p>
        </w:tc>
      </w:tr>
      <w:tr w:rsidR="00E57FB5" w:rsidRPr="0038312D" w14:paraId="2AB68C13" w14:textId="77777777" w:rsidTr="003D535D">
        <w:trPr>
          <w:jc w:val="center"/>
        </w:trPr>
        <w:tc>
          <w:tcPr>
            <w:tcW w:w="0" w:type="auto"/>
            <w:gridSpan w:val="6"/>
            <w:tcBorders>
              <w:top w:val="single" w:sz="4" w:space="0" w:color="auto"/>
              <w:left w:val="single" w:sz="4" w:space="0" w:color="auto"/>
              <w:bottom w:val="single" w:sz="4" w:space="0" w:color="auto"/>
              <w:right w:val="single" w:sz="4" w:space="0" w:color="auto"/>
            </w:tcBorders>
          </w:tcPr>
          <w:p w14:paraId="68A5DE72" w14:textId="77777777" w:rsidR="00E57FB5" w:rsidRPr="0038312D" w:rsidRDefault="00E57FB5" w:rsidP="003D535D">
            <w:pPr>
              <w:spacing w:after="0" w:line="240" w:lineRule="auto"/>
              <w:jc w:val="both"/>
              <w:rPr>
                <w:rFonts w:ascii="Times New Roman" w:eastAsia="Calibri" w:hAnsi="Times New Roman" w:cs="Times New Roman"/>
                <w:sz w:val="18"/>
                <w:szCs w:val="18"/>
                <w:lang w:val="sr-Cyrl-CS"/>
              </w:rPr>
            </w:pPr>
          </w:p>
        </w:tc>
        <w:tc>
          <w:tcPr>
            <w:tcW w:w="0" w:type="auto"/>
            <w:gridSpan w:val="2"/>
            <w:tcBorders>
              <w:top w:val="single" w:sz="4" w:space="0" w:color="auto"/>
              <w:left w:val="single" w:sz="4" w:space="0" w:color="auto"/>
              <w:bottom w:val="single" w:sz="4" w:space="0" w:color="auto"/>
              <w:right w:val="single" w:sz="4" w:space="0" w:color="auto"/>
            </w:tcBorders>
          </w:tcPr>
          <w:p w14:paraId="3E53AA3C" w14:textId="77777777" w:rsidR="00E57FB5" w:rsidRPr="0038312D" w:rsidRDefault="00E57FB5" w:rsidP="003D535D">
            <w:pPr>
              <w:spacing w:after="0" w:line="240" w:lineRule="auto"/>
              <w:jc w:val="both"/>
              <w:rPr>
                <w:rFonts w:ascii="Times New Roman" w:eastAsia="Calibri" w:hAnsi="Times New Roman" w:cs="Times New Roman"/>
                <w:iCs/>
                <w:sz w:val="18"/>
                <w:szCs w:val="18"/>
                <w:lang w:val="ru-RU"/>
              </w:rPr>
            </w:pPr>
          </w:p>
        </w:tc>
      </w:tr>
      <w:tr w:rsidR="00E57FB5" w:rsidRPr="0038312D" w14:paraId="0674A6A6" w14:textId="77777777" w:rsidTr="003D535D">
        <w:trPr>
          <w:jc w:val="center"/>
        </w:trPr>
        <w:tc>
          <w:tcPr>
            <w:tcW w:w="0" w:type="auto"/>
            <w:gridSpan w:val="8"/>
          </w:tcPr>
          <w:p w14:paraId="38288B4C"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7. Usklađenost odredbi propisa sa odredbama propisa EU</w:t>
            </w:r>
            <w:r w:rsidRPr="00523813">
              <w:rPr>
                <w:rFonts w:ascii="Times New Roman" w:hAnsi="Times New Roman" w:cs="Times New Roman"/>
                <w:sz w:val="18"/>
                <w:szCs w:val="18"/>
                <w:lang w:val="sr-Cyrl-RS"/>
              </w:rPr>
              <w:t xml:space="preserve"> Potpuno usklađeno - PU, delimično usklađeno - DU, neusklađeno - NU, neprenosivo – NP</w:t>
            </w:r>
          </w:p>
        </w:tc>
      </w:tr>
      <w:tr w:rsidR="00E57FB5" w:rsidRPr="0038312D" w14:paraId="3BD81995" w14:textId="77777777" w:rsidTr="003D535D">
        <w:tblPrEx>
          <w:jc w:val="left"/>
        </w:tblPrEx>
        <w:trPr>
          <w:tblHeader/>
        </w:trPr>
        <w:tc>
          <w:tcPr>
            <w:tcW w:w="1398" w:type="dxa"/>
            <w:shd w:val="clear" w:color="auto" w:fill="D9D9D9"/>
            <w:vAlign w:val="center"/>
          </w:tcPr>
          <w:p w14:paraId="4429DF15" w14:textId="77777777" w:rsidR="00E57FB5" w:rsidRPr="0038312D" w:rsidRDefault="00E57FB5" w:rsidP="003D535D">
            <w:pPr>
              <w:spacing w:before="120" w:after="120" w:line="240" w:lineRule="auto"/>
              <w:ind w:firstLine="5"/>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a</w:t>
            </w:r>
            <w:r w:rsidRPr="0038312D">
              <w:rPr>
                <w:rFonts w:ascii="Times New Roman" w:eastAsia="Calibri" w:hAnsi="Times New Roman" w:cs="Times New Roman"/>
                <w:sz w:val="18"/>
                <w:szCs w:val="18"/>
                <w:lang w:val="en-US"/>
              </w:rPr>
              <w:t>)</w:t>
            </w:r>
          </w:p>
        </w:tc>
        <w:tc>
          <w:tcPr>
            <w:tcW w:w="2989" w:type="dxa"/>
            <w:shd w:val="clear" w:color="auto" w:fill="D9D9D9"/>
            <w:vAlign w:val="center"/>
          </w:tcPr>
          <w:p w14:paraId="15600BFD"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a</w:t>
            </w:r>
            <w:r w:rsidRPr="0038312D">
              <w:rPr>
                <w:rFonts w:ascii="Times New Roman" w:eastAsia="Calibri" w:hAnsi="Times New Roman" w:cs="Times New Roman"/>
                <w:sz w:val="18"/>
                <w:szCs w:val="18"/>
                <w:lang w:val="en-US"/>
              </w:rPr>
              <w:t>1)</w:t>
            </w:r>
          </w:p>
        </w:tc>
        <w:tc>
          <w:tcPr>
            <w:tcW w:w="1386" w:type="dxa"/>
            <w:vAlign w:val="center"/>
          </w:tcPr>
          <w:p w14:paraId="20B896D8"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b</w:t>
            </w:r>
            <w:r w:rsidRPr="0038312D">
              <w:rPr>
                <w:rFonts w:ascii="Times New Roman" w:eastAsia="Calibri" w:hAnsi="Times New Roman" w:cs="Times New Roman"/>
                <w:sz w:val="18"/>
                <w:szCs w:val="18"/>
                <w:lang w:val="en-US"/>
              </w:rPr>
              <w:t>)</w:t>
            </w:r>
          </w:p>
        </w:tc>
        <w:tc>
          <w:tcPr>
            <w:tcW w:w="2714" w:type="dxa"/>
            <w:vAlign w:val="center"/>
          </w:tcPr>
          <w:p w14:paraId="647F9D34"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b</w:t>
            </w:r>
            <w:r w:rsidRPr="0038312D">
              <w:rPr>
                <w:rFonts w:ascii="Times New Roman" w:eastAsia="Calibri" w:hAnsi="Times New Roman" w:cs="Times New Roman"/>
                <w:sz w:val="18"/>
                <w:szCs w:val="18"/>
                <w:lang w:val="en-US"/>
              </w:rPr>
              <w:t>1)</w:t>
            </w:r>
          </w:p>
        </w:tc>
        <w:tc>
          <w:tcPr>
            <w:tcW w:w="1982" w:type="dxa"/>
            <w:vAlign w:val="center"/>
          </w:tcPr>
          <w:p w14:paraId="0EBED1B3"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v</w:t>
            </w:r>
            <w:r w:rsidRPr="0038312D">
              <w:rPr>
                <w:rFonts w:ascii="Times New Roman" w:eastAsia="Calibri" w:hAnsi="Times New Roman" w:cs="Times New Roman"/>
                <w:sz w:val="18"/>
                <w:szCs w:val="18"/>
                <w:lang w:val="en-US"/>
              </w:rPr>
              <w:t>)</w:t>
            </w:r>
          </w:p>
        </w:tc>
        <w:tc>
          <w:tcPr>
            <w:tcW w:w="1292" w:type="dxa"/>
            <w:gridSpan w:val="2"/>
            <w:vAlign w:val="center"/>
          </w:tcPr>
          <w:p w14:paraId="497F7287"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g</w:t>
            </w:r>
            <w:r w:rsidRPr="0038312D">
              <w:rPr>
                <w:rFonts w:ascii="Times New Roman" w:eastAsia="Calibri" w:hAnsi="Times New Roman" w:cs="Times New Roman"/>
                <w:sz w:val="18"/>
                <w:szCs w:val="18"/>
                <w:lang w:val="en-US"/>
              </w:rPr>
              <w:t>)</w:t>
            </w:r>
          </w:p>
        </w:tc>
        <w:tc>
          <w:tcPr>
            <w:tcW w:w="2233" w:type="dxa"/>
            <w:vAlign w:val="center"/>
          </w:tcPr>
          <w:p w14:paraId="39598F38" w14:textId="77777777" w:rsidR="00E57FB5" w:rsidRPr="0038312D" w:rsidRDefault="00E57FB5" w:rsidP="003D535D">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d</w:t>
            </w:r>
            <w:r w:rsidRPr="0038312D">
              <w:rPr>
                <w:rFonts w:ascii="Times New Roman" w:eastAsia="Calibri" w:hAnsi="Times New Roman" w:cs="Times New Roman"/>
                <w:sz w:val="18"/>
                <w:szCs w:val="18"/>
                <w:lang w:val="en-US"/>
              </w:rPr>
              <w:t>)</w:t>
            </w:r>
          </w:p>
        </w:tc>
      </w:tr>
      <w:tr w:rsidR="00E57FB5" w:rsidRPr="0038312D" w14:paraId="499C885F" w14:textId="77777777" w:rsidTr="003D535D">
        <w:tblPrEx>
          <w:jc w:val="left"/>
        </w:tblPrEx>
        <w:trPr>
          <w:tblHeader/>
        </w:trPr>
        <w:tc>
          <w:tcPr>
            <w:tcW w:w="1398" w:type="dxa"/>
            <w:shd w:val="clear" w:color="auto" w:fill="D9D9D9"/>
            <w:vAlign w:val="center"/>
          </w:tcPr>
          <w:p w14:paraId="6C5A327B"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fr-FR"/>
              </w:rPr>
            </w:pPr>
            <w:r w:rsidRPr="0038312D">
              <w:rPr>
                <w:rFonts w:ascii="Times New Roman" w:eastAsia="Calibri" w:hAnsi="Times New Roman" w:cs="Times New Roman"/>
                <w:sz w:val="18"/>
                <w:szCs w:val="18"/>
                <w:lang w:val="ru-RU"/>
              </w:rPr>
              <w:t>Odredba propisa EU</w:t>
            </w:r>
          </w:p>
        </w:tc>
        <w:tc>
          <w:tcPr>
            <w:tcW w:w="2989" w:type="dxa"/>
            <w:shd w:val="clear" w:color="auto" w:fill="D9D9D9"/>
            <w:vAlign w:val="center"/>
          </w:tcPr>
          <w:p w14:paraId="5B4F9237" w14:textId="77777777" w:rsidR="00E57FB5" w:rsidRPr="0038312D" w:rsidRDefault="00E57FB5" w:rsidP="003D535D">
            <w:pPr>
              <w:spacing w:after="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Sadržina </w:t>
            </w:r>
            <w:r w:rsidRPr="0038312D">
              <w:rPr>
                <w:rFonts w:ascii="Times New Roman" w:eastAsia="Calibri" w:hAnsi="Times New Roman" w:cs="Times New Roman"/>
                <w:sz w:val="18"/>
                <w:szCs w:val="18"/>
                <w:lang w:val="hr-HR"/>
              </w:rPr>
              <w:t>odredbe</w:t>
            </w:r>
          </w:p>
        </w:tc>
        <w:tc>
          <w:tcPr>
            <w:tcW w:w="1386" w:type="dxa"/>
            <w:vAlign w:val="center"/>
          </w:tcPr>
          <w:p w14:paraId="16A939CD" w14:textId="77777777" w:rsidR="00E57FB5" w:rsidRPr="0038312D" w:rsidRDefault="00E57FB5" w:rsidP="003D535D">
            <w:pPr>
              <w:spacing w:before="120" w:after="120" w:line="240" w:lineRule="auto"/>
              <w:ind w:firstLine="5"/>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ru-RU"/>
              </w:rPr>
              <w:t>Odredbe propisa R. Srbije</w:t>
            </w:r>
          </w:p>
        </w:tc>
        <w:tc>
          <w:tcPr>
            <w:tcW w:w="2714" w:type="dxa"/>
            <w:vAlign w:val="center"/>
          </w:tcPr>
          <w:p w14:paraId="751B1D93" w14:textId="77777777" w:rsidR="00E57FB5" w:rsidRPr="0038312D" w:rsidRDefault="00E57FB5" w:rsidP="003D535D">
            <w:pPr>
              <w:spacing w:after="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Sadržina </w:t>
            </w:r>
            <w:r w:rsidRPr="0038312D">
              <w:rPr>
                <w:rFonts w:ascii="Times New Roman" w:eastAsia="Calibri" w:hAnsi="Times New Roman" w:cs="Times New Roman"/>
                <w:sz w:val="18"/>
                <w:szCs w:val="18"/>
                <w:lang w:val="hr-HR"/>
              </w:rPr>
              <w:t>odredbe</w:t>
            </w:r>
          </w:p>
        </w:tc>
        <w:tc>
          <w:tcPr>
            <w:tcW w:w="1982" w:type="dxa"/>
            <w:vAlign w:val="center"/>
          </w:tcPr>
          <w:p w14:paraId="2C4A81C5"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Usklađenost</w:t>
            </w:r>
            <w:r w:rsidRPr="0038312D">
              <w:rPr>
                <w:rFonts w:ascii="Times New Roman" w:eastAsia="Calibri" w:hAnsi="Times New Roman" w:cs="Times New Roman"/>
                <w:sz w:val="18"/>
                <w:szCs w:val="18"/>
                <w:vertAlign w:val="superscript"/>
                <w:lang w:val="ru-RU"/>
              </w:rPr>
              <w:footnoteReference w:id="1"/>
            </w:r>
            <w:r w:rsidRPr="0038312D">
              <w:rPr>
                <w:rFonts w:ascii="Times New Roman" w:eastAsia="Calibri" w:hAnsi="Times New Roman" w:cs="Times New Roman"/>
                <w:sz w:val="18"/>
                <w:szCs w:val="18"/>
                <w:lang w:val="ru-RU"/>
              </w:rPr>
              <w:t xml:space="preserve"> </w:t>
            </w:r>
          </w:p>
        </w:tc>
        <w:tc>
          <w:tcPr>
            <w:tcW w:w="1292" w:type="dxa"/>
            <w:gridSpan w:val="2"/>
            <w:vAlign w:val="center"/>
          </w:tcPr>
          <w:p w14:paraId="416135AA" w14:textId="77777777" w:rsidR="00E57FB5" w:rsidRPr="0038312D" w:rsidRDefault="00E57FB5" w:rsidP="003D535D">
            <w:pPr>
              <w:spacing w:before="120" w:after="120" w:line="240" w:lineRule="auto"/>
              <w:ind w:firstLine="21"/>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ru-RU"/>
              </w:rPr>
              <w:t>Razlozi za d</w:t>
            </w:r>
            <w:r w:rsidRPr="0038312D">
              <w:rPr>
                <w:rFonts w:ascii="Times New Roman" w:eastAsia="Calibri" w:hAnsi="Times New Roman" w:cs="Times New Roman"/>
                <w:sz w:val="18"/>
                <w:szCs w:val="18"/>
                <w:lang w:val="sr-Cyrl-CS"/>
              </w:rPr>
              <w:t xml:space="preserve">elimičnu </w:t>
            </w:r>
            <w:r w:rsidRPr="0038312D">
              <w:rPr>
                <w:rFonts w:ascii="Times New Roman" w:eastAsia="Calibri" w:hAnsi="Times New Roman" w:cs="Times New Roman"/>
                <w:sz w:val="18"/>
                <w:szCs w:val="18"/>
                <w:lang w:val="ru-RU"/>
              </w:rPr>
              <w:t>usklađenost, neusklađenost ili neprenosivost</w:t>
            </w:r>
          </w:p>
        </w:tc>
        <w:tc>
          <w:tcPr>
            <w:tcW w:w="2233" w:type="dxa"/>
            <w:vAlign w:val="center"/>
          </w:tcPr>
          <w:p w14:paraId="49547F18"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Napomena o usklađenosti</w:t>
            </w:r>
          </w:p>
        </w:tc>
      </w:tr>
      <w:tr w:rsidR="00E57FB5" w:rsidRPr="0038312D" w14:paraId="6329072B" w14:textId="77777777" w:rsidTr="003D535D">
        <w:tblPrEx>
          <w:jc w:val="left"/>
        </w:tblPrEx>
        <w:trPr>
          <w:tblHeader/>
        </w:trPr>
        <w:tc>
          <w:tcPr>
            <w:tcW w:w="1398" w:type="dxa"/>
            <w:shd w:val="clear" w:color="auto" w:fill="D9D9D9"/>
            <w:vAlign w:val="center"/>
          </w:tcPr>
          <w:p w14:paraId="15287763"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sr-Latn-CS"/>
              </w:rPr>
              <w:t>1.1</w:t>
            </w:r>
          </w:p>
          <w:p w14:paraId="4C78C065"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p>
          <w:p w14:paraId="4F79BBB5"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p>
          <w:p w14:paraId="0C22E081"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p>
          <w:p w14:paraId="310B6EDC"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p>
          <w:p w14:paraId="1EA8B807" w14:textId="77777777" w:rsidR="00E57FB5" w:rsidRPr="0038312D" w:rsidRDefault="00E57FB5" w:rsidP="003D535D">
            <w:pPr>
              <w:spacing w:before="120" w:after="120" w:line="240" w:lineRule="auto"/>
              <w:jc w:val="both"/>
              <w:rPr>
                <w:rFonts w:ascii="Times New Roman" w:eastAsia="Calibri" w:hAnsi="Times New Roman" w:cs="Times New Roman"/>
                <w:sz w:val="18"/>
                <w:szCs w:val="18"/>
                <w:lang w:val="sr-Latn-CS"/>
              </w:rPr>
            </w:pPr>
          </w:p>
        </w:tc>
        <w:tc>
          <w:tcPr>
            <w:tcW w:w="2989" w:type="dxa"/>
            <w:shd w:val="clear" w:color="auto" w:fill="D9D9D9"/>
            <w:vAlign w:val="center"/>
          </w:tcPr>
          <w:p w14:paraId="49A8B0AB" w14:textId="77777777" w:rsidR="00E57FB5" w:rsidRPr="0038312D" w:rsidRDefault="00E57FB5" w:rsidP="003D535D">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 xml:space="preserve">This Regulation lays down guidelines for the timely development and interoperability of the priority corridors and areas of trans-European energy infrastructure (energy infrastructure priority corridors and areas) set out in Annex I that contribute to ensuring climate change mitigation, in particular achieving the Union’s 2030 targets for energy and climate and its climate neutrality objective by 2050 at the </w:t>
            </w:r>
            <w:r w:rsidRPr="0038312D">
              <w:rPr>
                <w:rFonts w:ascii="Times New Roman" w:eastAsia="Calibri" w:hAnsi="Times New Roman" w:cs="Times New Roman"/>
                <w:sz w:val="18"/>
                <w:szCs w:val="18"/>
              </w:rPr>
              <w:lastRenderedPageBreak/>
              <w:t>latest, and to ensuring interconnections, energy security, market and system integration and competition that benefits all Member States, as well as affordability of energy prices.</w:t>
            </w:r>
          </w:p>
          <w:p w14:paraId="678E7EF0" w14:textId="77777777" w:rsidR="00E57FB5" w:rsidRPr="0038312D" w:rsidRDefault="00E57FB5" w:rsidP="003D535D">
            <w:pPr>
              <w:spacing w:after="0" w:line="240" w:lineRule="auto"/>
              <w:jc w:val="both"/>
              <w:rPr>
                <w:rFonts w:ascii="Times New Roman" w:eastAsia="Calibri" w:hAnsi="Times New Roman" w:cs="Times New Roman"/>
                <w:sz w:val="18"/>
                <w:szCs w:val="18"/>
              </w:rPr>
            </w:pPr>
          </w:p>
          <w:p w14:paraId="60A8AFD3" w14:textId="77777777" w:rsidR="00E57FB5" w:rsidRPr="0038312D" w:rsidRDefault="00E57FB5" w:rsidP="003D535D">
            <w:pPr>
              <w:spacing w:after="0" w:line="240" w:lineRule="auto"/>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 particular, this Regulation:</w:t>
            </w:r>
          </w:p>
          <w:p w14:paraId="426E2E68" w14:textId="77777777" w:rsidR="00E57FB5" w:rsidRPr="0038312D" w:rsidRDefault="00E57FB5" w:rsidP="003D535D">
            <w:pPr>
              <w:spacing w:after="0" w:line="240" w:lineRule="auto"/>
              <w:jc w:val="both"/>
              <w:rPr>
                <w:rFonts w:ascii="Times New Roman" w:eastAsia="Calibri" w:hAnsi="Times New Roman" w:cs="Times New Roman"/>
                <w:sz w:val="18"/>
                <w:szCs w:val="18"/>
                <w:lang w:val="en-US"/>
              </w:rPr>
            </w:pPr>
          </w:p>
          <w:p w14:paraId="17F7362F" w14:textId="77777777" w:rsidR="00E57FB5" w:rsidRPr="0038312D" w:rsidRDefault="00E57FB5" w:rsidP="003D535D">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lang w:val="sr-Latn-CS"/>
              </w:rPr>
              <w:t>(a)</w:t>
            </w:r>
            <w:r w:rsidRPr="0038312D">
              <w:rPr>
                <w:rFonts w:ascii="Times New Roman" w:eastAsia="Calibri" w:hAnsi="Times New Roman" w:cs="Times New Roman"/>
                <w:sz w:val="18"/>
                <w:szCs w:val="18"/>
              </w:rPr>
              <w:t>provides for the identification of projects on the Union list of projects of common interest and of projects of mutual interest established pursuant to Article 3 (Union list);</w:t>
            </w:r>
          </w:p>
          <w:p w14:paraId="01E659DB" w14:textId="77777777" w:rsidR="00E57FB5" w:rsidRPr="0038312D" w:rsidRDefault="00E57FB5" w:rsidP="003D535D">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(b)facilitates the timely implementation of projects on the Union list by streamlining, coordinating more closely and accelerating permit granting processes, and by enhancing transparency and public participation;</w:t>
            </w:r>
          </w:p>
          <w:p w14:paraId="7D11E38C" w14:textId="77777777" w:rsidR="00E57FB5" w:rsidRPr="0038312D" w:rsidRDefault="00E57FB5" w:rsidP="003D535D">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(c) provides rules for the cross-border allocation of costs and risk-related incentives for projects on the Union list;</w:t>
            </w:r>
          </w:p>
          <w:p w14:paraId="32536C85" w14:textId="77777777" w:rsidR="00E57FB5" w:rsidRPr="0038312D" w:rsidRDefault="00E57FB5" w:rsidP="003D535D">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(d) determines the conditions for eligibility of projects on the Union list for Union financial assistance.</w:t>
            </w:r>
          </w:p>
          <w:p w14:paraId="4577020F" w14:textId="77777777" w:rsidR="00E57FB5" w:rsidRPr="0038312D" w:rsidRDefault="00E57FB5" w:rsidP="003D535D">
            <w:pPr>
              <w:spacing w:after="0" w:line="240" w:lineRule="auto"/>
              <w:jc w:val="both"/>
              <w:rPr>
                <w:rFonts w:ascii="Times New Roman" w:eastAsia="Calibri" w:hAnsi="Times New Roman" w:cs="Times New Roman"/>
                <w:sz w:val="18"/>
                <w:szCs w:val="18"/>
              </w:rPr>
            </w:pPr>
          </w:p>
        </w:tc>
        <w:tc>
          <w:tcPr>
            <w:tcW w:w="1386" w:type="dxa"/>
            <w:vAlign w:val="center"/>
          </w:tcPr>
          <w:p w14:paraId="0196C7D4"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01.</w:t>
            </w:r>
          </w:p>
          <w:p w14:paraId="107CC358"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24.37a.2</w:t>
            </w:r>
          </w:p>
        </w:tc>
        <w:tc>
          <w:tcPr>
            <w:tcW w:w="2714" w:type="dxa"/>
            <w:vAlign w:val="center"/>
          </w:tcPr>
          <w:p w14:paraId="1D5ECAB5" w14:textId="77777777" w:rsidR="00E57FB5" w:rsidRPr="0038312D" w:rsidRDefault="00E57FB5" w:rsidP="003D535D">
            <w:pPr>
              <w:spacing w:before="120" w:after="120" w:line="240" w:lineRule="auto"/>
              <w:rPr>
                <w:rFonts w:ascii="Times New Roman" w:eastAsia="Calibri" w:hAnsi="Times New Roman" w:cs="Times New Roman"/>
                <w:sz w:val="18"/>
                <w:szCs w:val="18"/>
                <w:lang w:val="sr-Cyrl-RS"/>
              </w:rPr>
            </w:pPr>
            <w:r w:rsidRPr="0038312D">
              <w:rPr>
                <w:rFonts w:ascii="Times New Roman" w:eastAsia="Calibri" w:hAnsi="Times New Roman" w:cs="Times New Roman"/>
                <w:sz w:val="18"/>
                <w:szCs w:val="18"/>
                <w:lang w:val="sr-Cyrl-RS"/>
              </w:rPr>
              <w:t xml:space="preserve">Vlada bliže propisuje uslove i način promovisanja nekog projekta u strateški i obaveze i aktivnosti nadležnih institucija i Agencije u pogledu praćenja realizacije strateških energetskih projekata, kao i postupak za pripremu i sprovođenje strateških investicionih projekata u oblasti energetike koji su određeni kao projekti od interesa </w:t>
            </w:r>
            <w:r w:rsidRPr="0038312D">
              <w:rPr>
                <w:rFonts w:ascii="Times New Roman" w:eastAsia="Calibri" w:hAnsi="Times New Roman" w:cs="Times New Roman"/>
                <w:sz w:val="18"/>
                <w:szCs w:val="18"/>
                <w:lang w:val="sr-Cyrl-RS"/>
              </w:rPr>
              <w:lastRenderedPageBreak/>
              <w:t>za Energetsku zajednicu (PECI) odlukom Ministarskog saveta Energetske zajednice u skladu sa Ugovorom o osnivanju Energetske zajednice.”.</w:t>
            </w:r>
          </w:p>
          <w:p w14:paraId="58934886"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vAlign w:val="center"/>
          </w:tcPr>
          <w:p w14:paraId="255218CE"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NU</w:t>
            </w:r>
          </w:p>
        </w:tc>
        <w:tc>
          <w:tcPr>
            <w:tcW w:w="1292" w:type="dxa"/>
            <w:gridSpan w:val="2"/>
            <w:vAlign w:val="center"/>
          </w:tcPr>
          <w:p w14:paraId="598E6A01"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7859A08"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Odredbe Uredbe (EU) 2022/869 Evropskog parlamenta i Veća od 30. maja 2022. godine o smernicama za transevropsku energetsku infrastrukturu, izmeni uredaba (EZ) br. 715/2009, (EU) 2019/942 i (EU) 2019/943 i direktiva </w:t>
            </w:r>
            <w:r w:rsidRPr="0038312D">
              <w:rPr>
                <w:rFonts w:ascii="Times New Roman" w:eastAsia="Calibri" w:hAnsi="Times New Roman" w:cs="Times New Roman"/>
                <w:sz w:val="18"/>
                <w:szCs w:val="18"/>
                <w:lang w:val="sr-Cyrl-CS"/>
              </w:rPr>
              <w:lastRenderedPageBreak/>
              <w:t xml:space="preserve">2009/73/EZ i (EU) 2019/944 i stavljanju van snage Uredbe (EU) br. 347/2013 prilagođene su Odlukom Ministarskog saveta </w:t>
            </w:r>
            <w:r w:rsidRPr="0038312D">
              <w:rPr>
                <w:rFonts w:ascii="Times New Roman" w:eastAsia="Calibri" w:hAnsi="Times New Roman" w:cs="Times New Roman"/>
                <w:sz w:val="18"/>
                <w:szCs w:val="18"/>
              </w:rPr>
              <w:t>2023/02/MC-EnC</w:t>
            </w:r>
            <w:r w:rsidRPr="0038312D">
              <w:rPr>
                <w:rFonts w:ascii="Times New Roman" w:eastAsia="Calibri" w:hAnsi="Times New Roman" w:cs="Times New Roman"/>
                <w:sz w:val="18"/>
                <w:szCs w:val="18"/>
                <w:lang w:val="sr-Cyrl-CS"/>
              </w:rPr>
              <w:t xml:space="preserve"> od 14. decembra 2023 </w:t>
            </w:r>
            <w:r w:rsidRPr="0038312D">
              <w:rPr>
                <w:rFonts w:ascii="Times New Roman" w:eastAsia="Calibri" w:hAnsi="Times New Roman" w:cs="Times New Roman"/>
                <w:sz w:val="18"/>
                <w:szCs w:val="18"/>
                <w:lang w:val="sr-Cyrl-RS"/>
              </w:rPr>
              <w:t xml:space="preserve">o </w:t>
            </w:r>
            <w:r w:rsidRPr="0038312D">
              <w:rPr>
                <w:rFonts w:ascii="Times New Roman" w:eastAsia="Calibri" w:hAnsi="Times New Roman" w:cs="Times New Roman"/>
                <w:sz w:val="18"/>
                <w:szCs w:val="18"/>
              </w:rPr>
              <w:t>izmenama i dopunama</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rPr>
              <w:t>Aneks</w:t>
            </w:r>
            <w:r w:rsidRPr="0038312D">
              <w:rPr>
                <w:rFonts w:ascii="Times New Roman" w:eastAsia="Calibri" w:hAnsi="Times New Roman" w:cs="Times New Roman"/>
                <w:sz w:val="18"/>
                <w:szCs w:val="18"/>
                <w:lang w:val="sr-Cyrl-CS"/>
              </w:rPr>
              <w:t>a</w:t>
            </w:r>
            <w:r w:rsidRPr="0038312D">
              <w:rPr>
                <w:rFonts w:ascii="Times New Roman" w:eastAsia="Calibri" w:hAnsi="Times New Roman" w:cs="Times New Roman"/>
                <w:sz w:val="18"/>
                <w:szCs w:val="18"/>
              </w:rPr>
              <w:t xml:space="preserve"> I Ugovora o Energetskoj zajednici radi prilagođavanja i usvajanja Uredbe (EU) 2022/869 o smernicama za transevropsku energetsku infrastrukturu kojim se menja član 2. Ugovora o Energetskoj zajednici.</w:t>
            </w:r>
          </w:p>
          <w:p w14:paraId="6B72ED6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p w14:paraId="330BB4E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zakona o izmenama i dopunama Zakona o energetici ostvariće se potpuna usklađenost sa Odlukom Ministarskog saveta </w:t>
            </w:r>
            <w:r w:rsidRPr="0038312D">
              <w:rPr>
                <w:rFonts w:ascii="Times New Roman" w:eastAsia="Calibri" w:hAnsi="Times New Roman" w:cs="Times New Roman"/>
                <w:sz w:val="18"/>
                <w:szCs w:val="18"/>
              </w:rPr>
              <w:t>2023/02/MC-EnC</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lang w:val="sr-Cyrl-RS"/>
              </w:rPr>
              <w:t xml:space="preserve">o </w:t>
            </w:r>
            <w:r w:rsidRPr="0038312D">
              <w:rPr>
                <w:rFonts w:ascii="Times New Roman" w:eastAsia="Calibri" w:hAnsi="Times New Roman" w:cs="Times New Roman"/>
                <w:sz w:val="18"/>
                <w:szCs w:val="18"/>
              </w:rPr>
              <w:t>izmenama i dopunama</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rPr>
              <w:t>Aneks</w:t>
            </w:r>
            <w:r w:rsidRPr="0038312D">
              <w:rPr>
                <w:rFonts w:ascii="Times New Roman" w:eastAsia="Calibri" w:hAnsi="Times New Roman" w:cs="Times New Roman"/>
                <w:sz w:val="18"/>
                <w:szCs w:val="18"/>
                <w:lang w:val="sr-Cyrl-CS"/>
              </w:rPr>
              <w:t>a</w:t>
            </w:r>
            <w:r w:rsidRPr="0038312D">
              <w:rPr>
                <w:rFonts w:ascii="Times New Roman" w:eastAsia="Calibri" w:hAnsi="Times New Roman" w:cs="Times New Roman"/>
                <w:sz w:val="18"/>
                <w:szCs w:val="18"/>
              </w:rPr>
              <w:t xml:space="preserve"> I Ugovora o Energetskoj zajednici radi prilagođavanja i usvajanja Uredbe (EU) 2022/869 o smernicama za transevropsku energetsku infrastrukturu</w:t>
            </w:r>
            <w:r w:rsidRPr="0038312D">
              <w:rPr>
                <w:rFonts w:ascii="Times New Roman" w:eastAsia="Calibri" w:hAnsi="Times New Roman" w:cs="Times New Roman"/>
                <w:sz w:val="18"/>
                <w:szCs w:val="18"/>
                <w:lang w:val="sr-Cyrl-CS"/>
              </w:rPr>
              <w:t>.</w:t>
            </w:r>
          </w:p>
        </w:tc>
      </w:tr>
      <w:tr w:rsidR="00E57FB5" w:rsidRPr="0038312D" w14:paraId="1A0CA98F" w14:textId="77777777" w:rsidTr="003D535D">
        <w:tblPrEx>
          <w:jc w:val="left"/>
        </w:tblPrEx>
        <w:trPr>
          <w:tblHeader/>
        </w:trPr>
        <w:tc>
          <w:tcPr>
            <w:tcW w:w="1398" w:type="dxa"/>
            <w:shd w:val="clear" w:color="auto" w:fill="D9D9D9"/>
            <w:vAlign w:val="center"/>
          </w:tcPr>
          <w:p w14:paraId="3804EE5D" w14:textId="77777777" w:rsidR="00E57FB5" w:rsidRPr="0038312D" w:rsidRDefault="00E57FB5" w:rsidP="003D535D">
            <w:pPr>
              <w:spacing w:before="120" w:after="120" w:line="240" w:lineRule="auto"/>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sr-Latn-CS"/>
              </w:rPr>
              <w:lastRenderedPageBreak/>
              <w:t>2</w:t>
            </w:r>
          </w:p>
        </w:tc>
        <w:tc>
          <w:tcPr>
            <w:tcW w:w="2989" w:type="dxa"/>
            <w:shd w:val="clear" w:color="auto" w:fill="D9D9D9"/>
            <w:vAlign w:val="center"/>
          </w:tcPr>
          <w:p w14:paraId="3039354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rPr>
              <w:t>Definitions</w:t>
            </w:r>
          </w:p>
        </w:tc>
        <w:tc>
          <w:tcPr>
            <w:tcW w:w="1386" w:type="dxa"/>
            <w:vAlign w:val="center"/>
          </w:tcPr>
          <w:p w14:paraId="1DBE00A5"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D2B8C9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vAlign w:val="center"/>
          </w:tcPr>
          <w:p w14:paraId="2ABD3DBF"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8F68767"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4B54B0A"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07880FE" w14:textId="77777777" w:rsidTr="003D535D">
        <w:tblPrEx>
          <w:jc w:val="left"/>
        </w:tblPrEx>
        <w:trPr>
          <w:tblHeader/>
        </w:trPr>
        <w:tc>
          <w:tcPr>
            <w:tcW w:w="1398" w:type="dxa"/>
            <w:shd w:val="clear" w:color="auto" w:fill="D9D9D9"/>
            <w:vAlign w:val="center"/>
          </w:tcPr>
          <w:p w14:paraId="72D18E24"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3</w:t>
            </w:r>
          </w:p>
        </w:tc>
        <w:tc>
          <w:tcPr>
            <w:tcW w:w="2989" w:type="dxa"/>
            <w:shd w:val="clear" w:color="auto" w:fill="D9D9D9"/>
            <w:vAlign w:val="center"/>
          </w:tcPr>
          <w:p w14:paraId="6C46E7F2"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Union list of projects of common interest and projects of mutual interest</w:t>
            </w:r>
          </w:p>
        </w:tc>
        <w:tc>
          <w:tcPr>
            <w:tcW w:w="1386" w:type="dxa"/>
            <w:vAlign w:val="center"/>
          </w:tcPr>
          <w:p w14:paraId="773D2C44"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0D82890"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vAlign w:val="center"/>
          </w:tcPr>
          <w:p w14:paraId="7F98D986"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25DDF93F"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FAFA5CD"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2D1DD5F" w14:textId="77777777" w:rsidTr="003D535D">
        <w:tblPrEx>
          <w:jc w:val="left"/>
        </w:tblPrEx>
        <w:trPr>
          <w:tblHeader/>
        </w:trPr>
        <w:tc>
          <w:tcPr>
            <w:tcW w:w="1398" w:type="dxa"/>
            <w:shd w:val="clear" w:color="auto" w:fill="D9D9D9"/>
            <w:vAlign w:val="center"/>
          </w:tcPr>
          <w:p w14:paraId="49F949BE"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4</w:t>
            </w:r>
          </w:p>
        </w:tc>
        <w:tc>
          <w:tcPr>
            <w:tcW w:w="2989" w:type="dxa"/>
            <w:shd w:val="clear" w:color="auto" w:fill="D9D9D9"/>
            <w:vAlign w:val="center"/>
          </w:tcPr>
          <w:p w14:paraId="7B8EE41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Criteria for the assessment of projects by the Groups</w:t>
            </w:r>
          </w:p>
        </w:tc>
        <w:tc>
          <w:tcPr>
            <w:tcW w:w="1386" w:type="dxa"/>
            <w:vAlign w:val="center"/>
          </w:tcPr>
          <w:p w14:paraId="33D095E1"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4129EA5"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vAlign w:val="center"/>
          </w:tcPr>
          <w:p w14:paraId="395D0BD7"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19C0029"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8BF028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9852CFE" w14:textId="77777777" w:rsidTr="003D535D">
        <w:tblPrEx>
          <w:jc w:val="left"/>
        </w:tblPrEx>
        <w:trPr>
          <w:tblHeader/>
        </w:trPr>
        <w:tc>
          <w:tcPr>
            <w:tcW w:w="1398" w:type="dxa"/>
            <w:shd w:val="clear" w:color="auto" w:fill="D9D9D9"/>
            <w:vAlign w:val="center"/>
          </w:tcPr>
          <w:p w14:paraId="782672E7"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5</w:t>
            </w:r>
          </w:p>
        </w:tc>
        <w:tc>
          <w:tcPr>
            <w:tcW w:w="2989" w:type="dxa"/>
            <w:shd w:val="clear" w:color="auto" w:fill="D9D9D9"/>
            <w:vAlign w:val="center"/>
          </w:tcPr>
          <w:p w14:paraId="76130F9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Implementation and monitoring of the projects of the Union list</w:t>
            </w:r>
          </w:p>
        </w:tc>
        <w:tc>
          <w:tcPr>
            <w:tcW w:w="1386" w:type="dxa"/>
            <w:vAlign w:val="center"/>
          </w:tcPr>
          <w:p w14:paraId="544AD213"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56A0D39"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vAlign w:val="center"/>
          </w:tcPr>
          <w:p w14:paraId="608A3A3E"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1E94400"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CE287EB"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4AC7A568" w14:textId="77777777" w:rsidTr="003D535D">
        <w:tblPrEx>
          <w:jc w:val="left"/>
        </w:tblPrEx>
        <w:trPr>
          <w:tblHeader/>
        </w:trPr>
        <w:tc>
          <w:tcPr>
            <w:tcW w:w="1398" w:type="dxa"/>
            <w:shd w:val="clear" w:color="auto" w:fill="D9D9D9"/>
            <w:vAlign w:val="center"/>
          </w:tcPr>
          <w:p w14:paraId="051BF853"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6</w:t>
            </w:r>
          </w:p>
        </w:tc>
        <w:tc>
          <w:tcPr>
            <w:tcW w:w="2989" w:type="dxa"/>
            <w:shd w:val="clear" w:color="auto" w:fill="D9D9D9"/>
            <w:vAlign w:val="center"/>
          </w:tcPr>
          <w:p w14:paraId="1D1238E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European coordinators</w:t>
            </w:r>
          </w:p>
        </w:tc>
        <w:tc>
          <w:tcPr>
            <w:tcW w:w="1386" w:type="dxa"/>
            <w:vAlign w:val="center"/>
          </w:tcPr>
          <w:p w14:paraId="5F1EE5D0"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F635738"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6115E67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20367ADC"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513FC6C"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3B111D2C" w14:textId="77777777" w:rsidTr="003D535D">
        <w:tblPrEx>
          <w:jc w:val="left"/>
        </w:tblPrEx>
        <w:trPr>
          <w:tblHeader/>
        </w:trPr>
        <w:tc>
          <w:tcPr>
            <w:tcW w:w="1398" w:type="dxa"/>
            <w:shd w:val="clear" w:color="auto" w:fill="D9D9D9"/>
            <w:vAlign w:val="center"/>
          </w:tcPr>
          <w:p w14:paraId="68216F61"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7</w:t>
            </w:r>
          </w:p>
        </w:tc>
        <w:tc>
          <w:tcPr>
            <w:tcW w:w="2989" w:type="dxa"/>
            <w:shd w:val="clear" w:color="auto" w:fill="D9D9D9"/>
            <w:vAlign w:val="center"/>
          </w:tcPr>
          <w:p w14:paraId="65BACBF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Priority status of projects of the Union list</w:t>
            </w:r>
          </w:p>
        </w:tc>
        <w:tc>
          <w:tcPr>
            <w:tcW w:w="1386" w:type="dxa"/>
            <w:vAlign w:val="center"/>
          </w:tcPr>
          <w:p w14:paraId="4A2F492D"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3170EA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7699E53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08FAA8C7"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3298647"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05DDCDE7" w14:textId="77777777" w:rsidTr="003D535D">
        <w:tblPrEx>
          <w:jc w:val="left"/>
        </w:tblPrEx>
        <w:trPr>
          <w:tblHeader/>
        </w:trPr>
        <w:tc>
          <w:tcPr>
            <w:tcW w:w="1398" w:type="dxa"/>
            <w:shd w:val="clear" w:color="auto" w:fill="D9D9D9"/>
            <w:vAlign w:val="center"/>
          </w:tcPr>
          <w:p w14:paraId="1A98F07C"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8</w:t>
            </w:r>
          </w:p>
        </w:tc>
        <w:tc>
          <w:tcPr>
            <w:tcW w:w="2989" w:type="dxa"/>
            <w:shd w:val="clear" w:color="auto" w:fill="D9D9D9"/>
            <w:vAlign w:val="center"/>
          </w:tcPr>
          <w:p w14:paraId="784E942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Organization of the permit granting process</w:t>
            </w:r>
          </w:p>
        </w:tc>
        <w:tc>
          <w:tcPr>
            <w:tcW w:w="1386" w:type="dxa"/>
            <w:vAlign w:val="center"/>
          </w:tcPr>
          <w:p w14:paraId="79972EA1"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7E4BDD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D52C0FB"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AC2570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C911BA2"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7026DD0" w14:textId="77777777" w:rsidTr="003D535D">
        <w:tblPrEx>
          <w:jc w:val="left"/>
        </w:tblPrEx>
        <w:trPr>
          <w:tblHeader/>
        </w:trPr>
        <w:tc>
          <w:tcPr>
            <w:tcW w:w="1398" w:type="dxa"/>
            <w:shd w:val="clear" w:color="auto" w:fill="D9D9D9"/>
            <w:vAlign w:val="center"/>
          </w:tcPr>
          <w:p w14:paraId="2930C54D"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9</w:t>
            </w:r>
          </w:p>
        </w:tc>
        <w:tc>
          <w:tcPr>
            <w:tcW w:w="2989" w:type="dxa"/>
            <w:shd w:val="clear" w:color="auto" w:fill="D9D9D9"/>
            <w:vAlign w:val="center"/>
          </w:tcPr>
          <w:p w14:paraId="4F0DDF2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Transparency and public participation</w:t>
            </w:r>
          </w:p>
        </w:tc>
        <w:tc>
          <w:tcPr>
            <w:tcW w:w="1386" w:type="dxa"/>
            <w:vAlign w:val="center"/>
          </w:tcPr>
          <w:p w14:paraId="6236E69C"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F39C9C8"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6FEF911"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EA5BAF2"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701B17A"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6A161CD9" w14:textId="77777777" w:rsidTr="003D535D">
        <w:tblPrEx>
          <w:jc w:val="left"/>
        </w:tblPrEx>
        <w:trPr>
          <w:tblHeader/>
        </w:trPr>
        <w:tc>
          <w:tcPr>
            <w:tcW w:w="1398" w:type="dxa"/>
            <w:shd w:val="clear" w:color="auto" w:fill="D9D9D9"/>
            <w:vAlign w:val="center"/>
          </w:tcPr>
          <w:p w14:paraId="233B8BE5"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10</w:t>
            </w:r>
          </w:p>
        </w:tc>
        <w:tc>
          <w:tcPr>
            <w:tcW w:w="2989" w:type="dxa"/>
            <w:shd w:val="clear" w:color="auto" w:fill="D9D9D9"/>
            <w:vAlign w:val="center"/>
          </w:tcPr>
          <w:p w14:paraId="3E72A70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Duration and implementation of the permit granting process</w:t>
            </w:r>
          </w:p>
        </w:tc>
        <w:tc>
          <w:tcPr>
            <w:tcW w:w="1386" w:type="dxa"/>
            <w:vAlign w:val="center"/>
          </w:tcPr>
          <w:p w14:paraId="4F7ECBC0"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E5B698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23EC45A6"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A38B078"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BD6CA28"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CB938BB" w14:textId="77777777" w:rsidTr="003D535D">
        <w:tblPrEx>
          <w:jc w:val="left"/>
        </w:tblPrEx>
        <w:trPr>
          <w:tblHeader/>
        </w:trPr>
        <w:tc>
          <w:tcPr>
            <w:tcW w:w="1398" w:type="dxa"/>
            <w:shd w:val="clear" w:color="auto" w:fill="D9D9D9"/>
            <w:vAlign w:val="center"/>
          </w:tcPr>
          <w:p w14:paraId="6D5D9323"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11</w:t>
            </w:r>
          </w:p>
        </w:tc>
        <w:tc>
          <w:tcPr>
            <w:tcW w:w="2989" w:type="dxa"/>
            <w:shd w:val="clear" w:color="auto" w:fill="D9D9D9"/>
            <w:vAlign w:val="center"/>
          </w:tcPr>
          <w:p w14:paraId="39E28B8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Energy system wide cost-benefit analysis</w:t>
            </w:r>
          </w:p>
        </w:tc>
        <w:tc>
          <w:tcPr>
            <w:tcW w:w="1386" w:type="dxa"/>
            <w:vAlign w:val="center"/>
          </w:tcPr>
          <w:p w14:paraId="431027A4"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DCD97B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34333B5"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4237EDF"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0C6FBDD"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6D19F45F" w14:textId="77777777" w:rsidTr="003D535D">
        <w:tblPrEx>
          <w:jc w:val="left"/>
        </w:tblPrEx>
        <w:trPr>
          <w:tblHeader/>
        </w:trPr>
        <w:tc>
          <w:tcPr>
            <w:tcW w:w="1398" w:type="dxa"/>
            <w:shd w:val="clear" w:color="auto" w:fill="D9D9D9"/>
            <w:vAlign w:val="center"/>
          </w:tcPr>
          <w:p w14:paraId="68C249E7"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12</w:t>
            </w:r>
          </w:p>
        </w:tc>
        <w:tc>
          <w:tcPr>
            <w:tcW w:w="2989" w:type="dxa"/>
            <w:shd w:val="clear" w:color="auto" w:fill="D9D9D9"/>
            <w:vAlign w:val="center"/>
          </w:tcPr>
          <w:p w14:paraId="009A1962"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Scenarios for the ten-year network development plans</w:t>
            </w:r>
          </w:p>
        </w:tc>
        <w:tc>
          <w:tcPr>
            <w:tcW w:w="1386" w:type="dxa"/>
            <w:vAlign w:val="center"/>
          </w:tcPr>
          <w:p w14:paraId="32CC7EB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A273D6D"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7E6C7458"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21B85226"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734512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4C7AC5A7" w14:textId="77777777" w:rsidTr="003D535D">
        <w:tblPrEx>
          <w:jc w:val="left"/>
        </w:tblPrEx>
        <w:trPr>
          <w:tblHeader/>
        </w:trPr>
        <w:tc>
          <w:tcPr>
            <w:tcW w:w="1398" w:type="dxa"/>
            <w:shd w:val="clear" w:color="auto" w:fill="D9D9D9"/>
            <w:vAlign w:val="center"/>
          </w:tcPr>
          <w:p w14:paraId="17C0CAFD"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13</w:t>
            </w:r>
          </w:p>
        </w:tc>
        <w:tc>
          <w:tcPr>
            <w:tcW w:w="2989" w:type="dxa"/>
            <w:shd w:val="clear" w:color="auto" w:fill="D9D9D9"/>
            <w:vAlign w:val="center"/>
          </w:tcPr>
          <w:p w14:paraId="5A3803B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Infrastructure Gaps Identification</w:t>
            </w:r>
          </w:p>
        </w:tc>
        <w:tc>
          <w:tcPr>
            <w:tcW w:w="1386" w:type="dxa"/>
            <w:vAlign w:val="center"/>
          </w:tcPr>
          <w:p w14:paraId="31F40323"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9292642"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AADBC4B"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61D6F13"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23AFFF9"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02E671D9" w14:textId="77777777" w:rsidTr="003D535D">
        <w:tblPrEx>
          <w:jc w:val="left"/>
        </w:tblPrEx>
        <w:trPr>
          <w:tblHeader/>
        </w:trPr>
        <w:tc>
          <w:tcPr>
            <w:tcW w:w="1398" w:type="dxa"/>
            <w:shd w:val="clear" w:color="auto" w:fill="D9D9D9"/>
            <w:vAlign w:val="center"/>
          </w:tcPr>
          <w:p w14:paraId="1CFD7B7A"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14</w:t>
            </w:r>
          </w:p>
        </w:tc>
        <w:tc>
          <w:tcPr>
            <w:tcW w:w="2989" w:type="dxa"/>
            <w:shd w:val="clear" w:color="auto" w:fill="D9D9D9"/>
            <w:vAlign w:val="center"/>
          </w:tcPr>
          <w:p w14:paraId="4376A8B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Offshore grid planning</w:t>
            </w:r>
          </w:p>
        </w:tc>
        <w:tc>
          <w:tcPr>
            <w:tcW w:w="1386" w:type="dxa"/>
            <w:vAlign w:val="center"/>
          </w:tcPr>
          <w:p w14:paraId="3A32A967"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499AE1B"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6B92BE8"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8D644EA"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F1E927B"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69C92BAA" w14:textId="77777777" w:rsidTr="003D535D">
        <w:tblPrEx>
          <w:jc w:val="left"/>
        </w:tblPrEx>
        <w:trPr>
          <w:tblHeader/>
        </w:trPr>
        <w:tc>
          <w:tcPr>
            <w:tcW w:w="1398" w:type="dxa"/>
            <w:shd w:val="clear" w:color="auto" w:fill="D9D9D9"/>
            <w:vAlign w:val="center"/>
          </w:tcPr>
          <w:p w14:paraId="5DAA3A5E"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15</w:t>
            </w:r>
          </w:p>
        </w:tc>
        <w:tc>
          <w:tcPr>
            <w:tcW w:w="2989" w:type="dxa"/>
            <w:shd w:val="clear" w:color="auto" w:fill="D9D9D9"/>
            <w:vAlign w:val="center"/>
          </w:tcPr>
          <w:p w14:paraId="668E0C4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Offshore grids for renewable energy cross-border cost sharing</w:t>
            </w:r>
          </w:p>
        </w:tc>
        <w:tc>
          <w:tcPr>
            <w:tcW w:w="1386" w:type="dxa"/>
            <w:vAlign w:val="center"/>
          </w:tcPr>
          <w:p w14:paraId="7278FDDD"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6B008D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4A4FD5D4"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73CB08EB"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F221695"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26D1434" w14:textId="77777777" w:rsidTr="003D535D">
        <w:tblPrEx>
          <w:jc w:val="left"/>
        </w:tblPrEx>
        <w:trPr>
          <w:tblHeader/>
        </w:trPr>
        <w:tc>
          <w:tcPr>
            <w:tcW w:w="1398" w:type="dxa"/>
            <w:shd w:val="clear" w:color="auto" w:fill="D9D9D9"/>
            <w:vAlign w:val="center"/>
          </w:tcPr>
          <w:p w14:paraId="659D1B48"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16</w:t>
            </w:r>
          </w:p>
        </w:tc>
        <w:tc>
          <w:tcPr>
            <w:tcW w:w="2989" w:type="dxa"/>
            <w:shd w:val="clear" w:color="auto" w:fill="D9D9D9"/>
            <w:vAlign w:val="center"/>
          </w:tcPr>
          <w:p w14:paraId="572C830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Enabling investments with a cross-border impact</w:t>
            </w:r>
          </w:p>
        </w:tc>
        <w:tc>
          <w:tcPr>
            <w:tcW w:w="1386" w:type="dxa"/>
            <w:vAlign w:val="center"/>
          </w:tcPr>
          <w:p w14:paraId="61AB96A2"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EBE9EB2"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41DABDF9"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7FB6D2D8"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3C39D0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71D02F9" w14:textId="77777777" w:rsidTr="003D535D">
        <w:tblPrEx>
          <w:jc w:val="left"/>
        </w:tblPrEx>
        <w:trPr>
          <w:tblHeader/>
        </w:trPr>
        <w:tc>
          <w:tcPr>
            <w:tcW w:w="1398" w:type="dxa"/>
            <w:shd w:val="clear" w:color="auto" w:fill="D9D9D9"/>
            <w:vAlign w:val="center"/>
          </w:tcPr>
          <w:p w14:paraId="4DACDADE"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17</w:t>
            </w:r>
          </w:p>
        </w:tc>
        <w:tc>
          <w:tcPr>
            <w:tcW w:w="2989" w:type="dxa"/>
            <w:shd w:val="clear" w:color="auto" w:fill="D9D9D9"/>
            <w:vAlign w:val="center"/>
          </w:tcPr>
          <w:p w14:paraId="7B55578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Regulatory incentives</w:t>
            </w:r>
          </w:p>
        </w:tc>
        <w:tc>
          <w:tcPr>
            <w:tcW w:w="1386" w:type="dxa"/>
            <w:vAlign w:val="center"/>
          </w:tcPr>
          <w:p w14:paraId="140BD0EE"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45AE9B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4EC5E91A"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98C6470"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9F5D5E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FB53D91" w14:textId="77777777" w:rsidTr="003D535D">
        <w:tblPrEx>
          <w:jc w:val="left"/>
        </w:tblPrEx>
        <w:trPr>
          <w:tblHeader/>
        </w:trPr>
        <w:tc>
          <w:tcPr>
            <w:tcW w:w="1398" w:type="dxa"/>
            <w:shd w:val="clear" w:color="auto" w:fill="D9D9D9"/>
            <w:vAlign w:val="center"/>
          </w:tcPr>
          <w:p w14:paraId="1F07D96F"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18</w:t>
            </w:r>
          </w:p>
        </w:tc>
        <w:tc>
          <w:tcPr>
            <w:tcW w:w="2989" w:type="dxa"/>
            <w:shd w:val="clear" w:color="auto" w:fill="D9D9D9"/>
            <w:vAlign w:val="center"/>
          </w:tcPr>
          <w:p w14:paraId="0B2D3C0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en-US"/>
              </w:rPr>
              <w:t xml:space="preserve">Eligibility of projects for Union financial assistance under Regulation </w:t>
            </w:r>
            <w:r w:rsidRPr="0038312D">
              <w:rPr>
                <w:rFonts w:ascii="Times New Roman" w:eastAsia="Calibri" w:hAnsi="Times New Roman" w:cs="Times New Roman"/>
                <w:sz w:val="18"/>
                <w:szCs w:val="18"/>
                <w:lang w:val="sr-Latn-CS"/>
              </w:rPr>
              <w:t>(EU) 2021/1153</w:t>
            </w:r>
          </w:p>
        </w:tc>
        <w:tc>
          <w:tcPr>
            <w:tcW w:w="1386" w:type="dxa"/>
            <w:vAlign w:val="center"/>
          </w:tcPr>
          <w:p w14:paraId="6164EE6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81AA3A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106483E"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590E3A1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1D6FD04"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6B440E7B" w14:textId="77777777" w:rsidTr="003D535D">
        <w:tblPrEx>
          <w:jc w:val="left"/>
        </w:tblPrEx>
        <w:trPr>
          <w:tblHeader/>
        </w:trPr>
        <w:tc>
          <w:tcPr>
            <w:tcW w:w="1398" w:type="dxa"/>
            <w:shd w:val="clear" w:color="auto" w:fill="D9D9D9"/>
            <w:vAlign w:val="center"/>
          </w:tcPr>
          <w:p w14:paraId="6707EFF1"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19</w:t>
            </w:r>
          </w:p>
        </w:tc>
        <w:tc>
          <w:tcPr>
            <w:tcW w:w="2989" w:type="dxa"/>
            <w:shd w:val="clear" w:color="auto" w:fill="D9D9D9"/>
            <w:vAlign w:val="center"/>
          </w:tcPr>
          <w:p w14:paraId="368CCB9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Guidance for the award criteria of Union financial assistance</w:t>
            </w:r>
          </w:p>
        </w:tc>
        <w:tc>
          <w:tcPr>
            <w:tcW w:w="1386" w:type="dxa"/>
            <w:vAlign w:val="center"/>
          </w:tcPr>
          <w:p w14:paraId="526B2DEE"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4CDE7A3"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A3C52CD"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7413C3F"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CB0F21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66B94905" w14:textId="77777777" w:rsidTr="003D535D">
        <w:tblPrEx>
          <w:jc w:val="left"/>
        </w:tblPrEx>
        <w:trPr>
          <w:tblHeader/>
        </w:trPr>
        <w:tc>
          <w:tcPr>
            <w:tcW w:w="1398" w:type="dxa"/>
            <w:shd w:val="clear" w:color="auto" w:fill="D9D9D9"/>
            <w:vAlign w:val="center"/>
          </w:tcPr>
          <w:p w14:paraId="2CEC7261"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20</w:t>
            </w:r>
          </w:p>
        </w:tc>
        <w:tc>
          <w:tcPr>
            <w:tcW w:w="2989" w:type="dxa"/>
            <w:shd w:val="clear" w:color="auto" w:fill="D9D9D9"/>
            <w:vAlign w:val="center"/>
          </w:tcPr>
          <w:p w14:paraId="05ECCA1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Exercise of the delegation</w:t>
            </w:r>
          </w:p>
        </w:tc>
        <w:tc>
          <w:tcPr>
            <w:tcW w:w="1386" w:type="dxa"/>
            <w:vAlign w:val="center"/>
          </w:tcPr>
          <w:p w14:paraId="68114F1C"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B14C9F2"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679454E1"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089214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7CE0C43"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3DA25CAA" w14:textId="77777777" w:rsidTr="003D535D">
        <w:tblPrEx>
          <w:jc w:val="left"/>
        </w:tblPrEx>
        <w:trPr>
          <w:tblHeader/>
        </w:trPr>
        <w:tc>
          <w:tcPr>
            <w:tcW w:w="1398" w:type="dxa"/>
            <w:shd w:val="clear" w:color="auto" w:fill="D9D9D9"/>
            <w:vAlign w:val="center"/>
          </w:tcPr>
          <w:p w14:paraId="6D33271F"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21</w:t>
            </w:r>
          </w:p>
        </w:tc>
        <w:tc>
          <w:tcPr>
            <w:tcW w:w="2989" w:type="dxa"/>
            <w:shd w:val="clear" w:color="auto" w:fill="D9D9D9"/>
            <w:vAlign w:val="center"/>
          </w:tcPr>
          <w:p w14:paraId="5E70B61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Reporting and evaluation</w:t>
            </w:r>
          </w:p>
        </w:tc>
        <w:tc>
          <w:tcPr>
            <w:tcW w:w="1386" w:type="dxa"/>
            <w:vAlign w:val="center"/>
          </w:tcPr>
          <w:p w14:paraId="25066480"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14A5BAB"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CAB687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76D28F2A"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6CB3AFB"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5B2298E2" w14:textId="77777777" w:rsidTr="003D535D">
        <w:tblPrEx>
          <w:jc w:val="left"/>
        </w:tblPrEx>
        <w:trPr>
          <w:tblHeader/>
        </w:trPr>
        <w:tc>
          <w:tcPr>
            <w:tcW w:w="1398" w:type="dxa"/>
            <w:shd w:val="clear" w:color="auto" w:fill="D9D9D9"/>
            <w:vAlign w:val="center"/>
          </w:tcPr>
          <w:p w14:paraId="18C9C96A"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22</w:t>
            </w:r>
          </w:p>
        </w:tc>
        <w:tc>
          <w:tcPr>
            <w:tcW w:w="2989" w:type="dxa"/>
            <w:shd w:val="clear" w:color="auto" w:fill="D9D9D9"/>
            <w:vAlign w:val="center"/>
          </w:tcPr>
          <w:p w14:paraId="1040B15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Review </w:t>
            </w:r>
          </w:p>
        </w:tc>
        <w:tc>
          <w:tcPr>
            <w:tcW w:w="1386" w:type="dxa"/>
            <w:vAlign w:val="center"/>
          </w:tcPr>
          <w:p w14:paraId="1CDF20A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6F58C2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050E7EF3"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828EE65"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54E626B"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575CCB29" w14:textId="77777777" w:rsidTr="003D535D">
        <w:tblPrEx>
          <w:jc w:val="left"/>
        </w:tblPrEx>
        <w:trPr>
          <w:tblHeader/>
        </w:trPr>
        <w:tc>
          <w:tcPr>
            <w:tcW w:w="1398" w:type="dxa"/>
            <w:shd w:val="clear" w:color="auto" w:fill="D9D9D9"/>
            <w:vAlign w:val="center"/>
          </w:tcPr>
          <w:p w14:paraId="594FF33C"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23</w:t>
            </w:r>
          </w:p>
        </w:tc>
        <w:tc>
          <w:tcPr>
            <w:tcW w:w="2989" w:type="dxa"/>
            <w:shd w:val="clear" w:color="auto" w:fill="D9D9D9"/>
            <w:vAlign w:val="center"/>
          </w:tcPr>
          <w:p w14:paraId="6B333C8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Information and publicity</w:t>
            </w:r>
          </w:p>
        </w:tc>
        <w:tc>
          <w:tcPr>
            <w:tcW w:w="1386" w:type="dxa"/>
            <w:vAlign w:val="center"/>
          </w:tcPr>
          <w:p w14:paraId="27A6114A"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8F1FC4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66690D8E"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6739FCE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6A79DC8"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9AF475F" w14:textId="77777777" w:rsidTr="003D535D">
        <w:tblPrEx>
          <w:jc w:val="left"/>
        </w:tblPrEx>
        <w:trPr>
          <w:tblHeader/>
        </w:trPr>
        <w:tc>
          <w:tcPr>
            <w:tcW w:w="1398" w:type="dxa"/>
            <w:shd w:val="clear" w:color="auto" w:fill="D9D9D9"/>
            <w:vAlign w:val="center"/>
          </w:tcPr>
          <w:p w14:paraId="1DEAC501"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24</w:t>
            </w:r>
          </w:p>
        </w:tc>
        <w:tc>
          <w:tcPr>
            <w:tcW w:w="2989" w:type="dxa"/>
            <w:shd w:val="clear" w:color="auto" w:fill="D9D9D9"/>
            <w:vAlign w:val="center"/>
          </w:tcPr>
          <w:p w14:paraId="52947A6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Derogation for interconnections for Cyprus and Malta</w:t>
            </w:r>
          </w:p>
        </w:tc>
        <w:tc>
          <w:tcPr>
            <w:tcW w:w="1386" w:type="dxa"/>
            <w:vAlign w:val="center"/>
          </w:tcPr>
          <w:p w14:paraId="252970E1"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1DC33F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7C173FA"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38B05FB"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7711E9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0275CB5" w14:textId="77777777" w:rsidTr="003D535D">
        <w:tblPrEx>
          <w:jc w:val="left"/>
        </w:tblPrEx>
        <w:trPr>
          <w:tblHeader/>
        </w:trPr>
        <w:tc>
          <w:tcPr>
            <w:tcW w:w="1398" w:type="dxa"/>
            <w:shd w:val="clear" w:color="auto" w:fill="D9D9D9"/>
            <w:vAlign w:val="center"/>
          </w:tcPr>
          <w:p w14:paraId="4451CA0C"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25</w:t>
            </w:r>
          </w:p>
        </w:tc>
        <w:tc>
          <w:tcPr>
            <w:tcW w:w="2989" w:type="dxa"/>
            <w:shd w:val="clear" w:color="auto" w:fill="D9D9D9"/>
            <w:vAlign w:val="center"/>
          </w:tcPr>
          <w:p w14:paraId="10C1139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(EC) No 715/2009</w:t>
            </w:r>
          </w:p>
        </w:tc>
        <w:tc>
          <w:tcPr>
            <w:tcW w:w="1386" w:type="dxa"/>
            <w:vAlign w:val="center"/>
          </w:tcPr>
          <w:p w14:paraId="5A194A8A"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74D834D"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3B2DB6B"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F98656C"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477BA00"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3744AB7B" w14:textId="77777777" w:rsidTr="003D535D">
        <w:tblPrEx>
          <w:jc w:val="left"/>
        </w:tblPrEx>
        <w:trPr>
          <w:tblHeader/>
        </w:trPr>
        <w:tc>
          <w:tcPr>
            <w:tcW w:w="1398" w:type="dxa"/>
            <w:shd w:val="clear" w:color="auto" w:fill="D9D9D9"/>
            <w:vAlign w:val="center"/>
          </w:tcPr>
          <w:p w14:paraId="211C42E7"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26</w:t>
            </w:r>
          </w:p>
        </w:tc>
        <w:tc>
          <w:tcPr>
            <w:tcW w:w="2989" w:type="dxa"/>
            <w:shd w:val="clear" w:color="auto" w:fill="D9D9D9"/>
            <w:vAlign w:val="center"/>
          </w:tcPr>
          <w:p w14:paraId="543F65C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(EU) 2019/942</w:t>
            </w:r>
          </w:p>
        </w:tc>
        <w:tc>
          <w:tcPr>
            <w:tcW w:w="1386" w:type="dxa"/>
            <w:vAlign w:val="center"/>
          </w:tcPr>
          <w:p w14:paraId="1F3005D8"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05CE9B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77DE3F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39EA10B"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794EC93"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59AAD635" w14:textId="77777777" w:rsidTr="003D535D">
        <w:tblPrEx>
          <w:jc w:val="left"/>
        </w:tblPrEx>
        <w:trPr>
          <w:tblHeader/>
        </w:trPr>
        <w:tc>
          <w:tcPr>
            <w:tcW w:w="1398" w:type="dxa"/>
            <w:shd w:val="clear" w:color="auto" w:fill="D9D9D9"/>
            <w:vAlign w:val="center"/>
          </w:tcPr>
          <w:p w14:paraId="60734C9F"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27</w:t>
            </w:r>
          </w:p>
        </w:tc>
        <w:tc>
          <w:tcPr>
            <w:tcW w:w="2989" w:type="dxa"/>
            <w:shd w:val="clear" w:color="auto" w:fill="D9D9D9"/>
            <w:vAlign w:val="center"/>
          </w:tcPr>
          <w:p w14:paraId="424F5FC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(EU) 2019/943</w:t>
            </w:r>
          </w:p>
        </w:tc>
        <w:tc>
          <w:tcPr>
            <w:tcW w:w="1386" w:type="dxa"/>
            <w:vAlign w:val="center"/>
          </w:tcPr>
          <w:p w14:paraId="7A1A4455"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CBC786C"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4564B7B4"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3E84085"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FFFF6C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5380C1E9" w14:textId="77777777" w:rsidTr="003D535D">
        <w:tblPrEx>
          <w:jc w:val="left"/>
        </w:tblPrEx>
        <w:trPr>
          <w:tblHeader/>
        </w:trPr>
        <w:tc>
          <w:tcPr>
            <w:tcW w:w="1398" w:type="dxa"/>
            <w:shd w:val="clear" w:color="auto" w:fill="D9D9D9"/>
            <w:vAlign w:val="center"/>
          </w:tcPr>
          <w:p w14:paraId="09E885A6"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28</w:t>
            </w:r>
          </w:p>
        </w:tc>
        <w:tc>
          <w:tcPr>
            <w:tcW w:w="2989" w:type="dxa"/>
            <w:shd w:val="clear" w:color="auto" w:fill="D9D9D9"/>
            <w:vAlign w:val="center"/>
          </w:tcPr>
          <w:p w14:paraId="385BF55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Directive 2009/73/EC</w:t>
            </w:r>
          </w:p>
        </w:tc>
        <w:tc>
          <w:tcPr>
            <w:tcW w:w="1386" w:type="dxa"/>
            <w:vAlign w:val="center"/>
          </w:tcPr>
          <w:p w14:paraId="3ADFE1B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9E43FB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046E305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2407A88"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EA9647C"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17A831D1" w14:textId="77777777" w:rsidTr="003D535D">
        <w:tblPrEx>
          <w:jc w:val="left"/>
        </w:tblPrEx>
        <w:trPr>
          <w:tblHeader/>
        </w:trPr>
        <w:tc>
          <w:tcPr>
            <w:tcW w:w="1398" w:type="dxa"/>
            <w:shd w:val="clear" w:color="auto" w:fill="D9D9D9"/>
            <w:vAlign w:val="center"/>
          </w:tcPr>
          <w:p w14:paraId="0D9BF1D2"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29</w:t>
            </w:r>
          </w:p>
        </w:tc>
        <w:tc>
          <w:tcPr>
            <w:tcW w:w="2989" w:type="dxa"/>
            <w:shd w:val="clear" w:color="auto" w:fill="D9D9D9"/>
            <w:vAlign w:val="center"/>
          </w:tcPr>
          <w:p w14:paraId="3298C78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Directive (EU) 2019/944</w:t>
            </w:r>
          </w:p>
        </w:tc>
        <w:tc>
          <w:tcPr>
            <w:tcW w:w="1386" w:type="dxa"/>
            <w:vAlign w:val="center"/>
          </w:tcPr>
          <w:p w14:paraId="2A2B4F6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A91CF39"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26C7AF60"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559FBE68"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C586F0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09CC3B54" w14:textId="77777777" w:rsidTr="003D535D">
        <w:tblPrEx>
          <w:jc w:val="left"/>
        </w:tblPrEx>
        <w:trPr>
          <w:tblHeader/>
        </w:trPr>
        <w:tc>
          <w:tcPr>
            <w:tcW w:w="1398" w:type="dxa"/>
            <w:shd w:val="clear" w:color="auto" w:fill="D9D9D9"/>
            <w:vAlign w:val="center"/>
          </w:tcPr>
          <w:p w14:paraId="2A8BE37D"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30</w:t>
            </w:r>
          </w:p>
        </w:tc>
        <w:tc>
          <w:tcPr>
            <w:tcW w:w="2989" w:type="dxa"/>
            <w:shd w:val="clear" w:color="auto" w:fill="D9D9D9"/>
            <w:vAlign w:val="center"/>
          </w:tcPr>
          <w:p w14:paraId="53A2ED9A"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Transitional provisions </w:t>
            </w:r>
          </w:p>
        </w:tc>
        <w:tc>
          <w:tcPr>
            <w:tcW w:w="1386" w:type="dxa"/>
            <w:vAlign w:val="center"/>
          </w:tcPr>
          <w:p w14:paraId="2C8219D1"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6253DD8"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2DC255EC"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1366F908"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06C6785"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5BF86EB4" w14:textId="77777777" w:rsidTr="003D535D">
        <w:tblPrEx>
          <w:jc w:val="left"/>
        </w:tblPrEx>
        <w:trPr>
          <w:tblHeader/>
        </w:trPr>
        <w:tc>
          <w:tcPr>
            <w:tcW w:w="1398" w:type="dxa"/>
            <w:shd w:val="clear" w:color="auto" w:fill="D9D9D9"/>
            <w:vAlign w:val="center"/>
          </w:tcPr>
          <w:p w14:paraId="7B0CA91A"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31</w:t>
            </w:r>
          </w:p>
        </w:tc>
        <w:tc>
          <w:tcPr>
            <w:tcW w:w="2989" w:type="dxa"/>
            <w:shd w:val="clear" w:color="auto" w:fill="D9D9D9"/>
            <w:vAlign w:val="center"/>
          </w:tcPr>
          <w:p w14:paraId="2FC0555D"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Transitional period</w:t>
            </w:r>
          </w:p>
        </w:tc>
        <w:tc>
          <w:tcPr>
            <w:tcW w:w="1386" w:type="dxa"/>
            <w:vAlign w:val="center"/>
          </w:tcPr>
          <w:p w14:paraId="0097A1A3"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4209D5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024001A0"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6C8B03DB"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C1FD343"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45E2012E" w14:textId="77777777" w:rsidTr="003D535D">
        <w:tblPrEx>
          <w:jc w:val="left"/>
        </w:tblPrEx>
        <w:trPr>
          <w:tblHeader/>
        </w:trPr>
        <w:tc>
          <w:tcPr>
            <w:tcW w:w="1398" w:type="dxa"/>
            <w:shd w:val="clear" w:color="auto" w:fill="D9D9D9"/>
            <w:vAlign w:val="center"/>
          </w:tcPr>
          <w:p w14:paraId="64BBE686"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32</w:t>
            </w:r>
          </w:p>
        </w:tc>
        <w:tc>
          <w:tcPr>
            <w:tcW w:w="2989" w:type="dxa"/>
            <w:shd w:val="clear" w:color="auto" w:fill="D9D9D9"/>
            <w:vAlign w:val="center"/>
          </w:tcPr>
          <w:p w14:paraId="17879B8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Repeal</w:t>
            </w:r>
          </w:p>
        </w:tc>
        <w:tc>
          <w:tcPr>
            <w:tcW w:w="1386" w:type="dxa"/>
            <w:vAlign w:val="center"/>
          </w:tcPr>
          <w:p w14:paraId="4866D672"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C3DC109"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8234624"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5C46C50B"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2021B67"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462D8C67" w14:textId="77777777" w:rsidTr="003D535D">
        <w:tblPrEx>
          <w:jc w:val="left"/>
        </w:tblPrEx>
        <w:trPr>
          <w:tblHeader/>
        </w:trPr>
        <w:tc>
          <w:tcPr>
            <w:tcW w:w="1398" w:type="dxa"/>
            <w:shd w:val="clear" w:color="auto" w:fill="D9D9D9"/>
            <w:vAlign w:val="center"/>
          </w:tcPr>
          <w:p w14:paraId="0A54157C"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33</w:t>
            </w:r>
          </w:p>
        </w:tc>
        <w:tc>
          <w:tcPr>
            <w:tcW w:w="2989" w:type="dxa"/>
            <w:shd w:val="clear" w:color="auto" w:fill="D9D9D9"/>
            <w:vAlign w:val="center"/>
          </w:tcPr>
          <w:p w14:paraId="56C8EC5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Entry into force</w:t>
            </w:r>
          </w:p>
        </w:tc>
        <w:tc>
          <w:tcPr>
            <w:tcW w:w="1386" w:type="dxa"/>
            <w:vAlign w:val="center"/>
          </w:tcPr>
          <w:p w14:paraId="7520C66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5698CEF"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D5062FF"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4FF2B6FD"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D62E665"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FEC14E6" w14:textId="77777777" w:rsidTr="003D535D">
        <w:tblPrEx>
          <w:jc w:val="left"/>
        </w:tblPrEx>
        <w:trPr>
          <w:tblHeader/>
        </w:trPr>
        <w:tc>
          <w:tcPr>
            <w:tcW w:w="1398" w:type="dxa"/>
            <w:shd w:val="clear" w:color="auto" w:fill="D9D9D9"/>
            <w:vAlign w:val="center"/>
          </w:tcPr>
          <w:p w14:paraId="5C7031D8"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I</w:t>
            </w:r>
          </w:p>
        </w:tc>
        <w:tc>
          <w:tcPr>
            <w:tcW w:w="2989" w:type="dxa"/>
            <w:shd w:val="clear" w:color="auto" w:fill="D9D9D9"/>
            <w:vAlign w:val="center"/>
          </w:tcPr>
          <w:p w14:paraId="573510E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Energy infrastructure priority corridors and areas</w:t>
            </w:r>
          </w:p>
        </w:tc>
        <w:tc>
          <w:tcPr>
            <w:tcW w:w="1386" w:type="dxa"/>
            <w:vAlign w:val="center"/>
          </w:tcPr>
          <w:p w14:paraId="29D70554"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8F427F4"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09AD9D93"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6482D363"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9F465A5"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365D1334" w14:textId="77777777" w:rsidTr="003D535D">
        <w:tblPrEx>
          <w:jc w:val="left"/>
        </w:tblPrEx>
        <w:trPr>
          <w:tblHeader/>
        </w:trPr>
        <w:tc>
          <w:tcPr>
            <w:tcW w:w="1398" w:type="dxa"/>
            <w:shd w:val="clear" w:color="auto" w:fill="D9D9D9"/>
            <w:vAlign w:val="center"/>
          </w:tcPr>
          <w:p w14:paraId="1EEAB0F8"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Annex II</w:t>
            </w:r>
          </w:p>
          <w:p w14:paraId="2C93E5D9"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1(1)</w:t>
            </w:r>
          </w:p>
        </w:tc>
        <w:tc>
          <w:tcPr>
            <w:tcW w:w="2989" w:type="dxa"/>
            <w:shd w:val="clear" w:color="auto" w:fill="D9D9D9"/>
            <w:vAlign w:val="center"/>
          </w:tcPr>
          <w:p w14:paraId="40E581C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 xml:space="preserve">Energy infrastructure categories </w:t>
            </w:r>
          </w:p>
          <w:p w14:paraId="3FB1C31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2195D12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The energy infrastructure categories to be developed in order to implement the energy infrastructure priorities set out in Annex I shall be the following:</w:t>
            </w:r>
          </w:p>
          <w:p w14:paraId="0B85747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19D12ADC" w14:textId="77777777" w:rsidR="00E57FB5" w:rsidRPr="0038312D" w:rsidRDefault="00E57FB5" w:rsidP="003D535D">
            <w:pPr>
              <w:pStyle w:val="ListParagraph"/>
              <w:numPr>
                <w:ilvl w:val="0"/>
                <w:numId w:val="4"/>
              </w:num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concerning electricity:</w:t>
            </w:r>
          </w:p>
          <w:p w14:paraId="0865ED8D"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4956F378" w14:textId="77777777" w:rsidR="00E57FB5" w:rsidRPr="0038312D" w:rsidRDefault="00E57FB5" w:rsidP="003D535D">
            <w:pPr>
              <w:pStyle w:val="ListParagraph"/>
              <w:numPr>
                <w:ilvl w:val="0"/>
                <w:numId w:val="5"/>
              </w:numPr>
              <w:spacing w:after="0" w:line="240" w:lineRule="auto"/>
              <w:jc w:val="both"/>
              <w:rPr>
                <w:rFonts w:ascii="Times New Roman" w:eastAsia="Calibri" w:hAnsi="Times New Roman" w:cs="Times New Roman"/>
                <w:sz w:val="18"/>
                <w:szCs w:val="18"/>
                <w:lang w:val="sr-Cyrl-CS"/>
              </w:rPr>
            </w:pPr>
          </w:p>
          <w:p w14:paraId="27C713B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1B4D2F0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high and extra-high voltage overhead transmission lines, crossing a border or within a Member State territory including the exclusive economic zone, if they have been designed for a voltage of 220 kV or more, and underground and submarine transmission cables, if they have been designed for a voltage of 150 kV or more. For Member States and small isolated systems with a lower voltage overall transmission system, those voltage thresholds are equal to the highest voltage level in their respective electricity systems;</w:t>
            </w:r>
          </w:p>
          <w:p w14:paraId="7B10D7B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50302A3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62D1978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tc>
        <w:tc>
          <w:tcPr>
            <w:tcW w:w="1386" w:type="dxa"/>
            <w:vAlign w:val="center"/>
          </w:tcPr>
          <w:p w14:paraId="1DAE7A9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49A2ED2B"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w:t>
            </w:r>
            <w:r w:rsidRPr="0038312D">
              <w:rPr>
                <w:rFonts w:ascii="Times New Roman" w:eastAsia="Calibri" w:hAnsi="Times New Roman" w:cs="Times New Roman"/>
                <w:sz w:val="18"/>
                <w:szCs w:val="18"/>
                <w:lang w:val="sr-Latn-CS"/>
              </w:rPr>
              <w:t>1</w:t>
            </w:r>
            <w:r w:rsidRPr="0038312D">
              <w:rPr>
                <w:rFonts w:ascii="Times New Roman" w:eastAsia="Calibri" w:hAnsi="Times New Roman" w:cs="Times New Roman"/>
                <w:sz w:val="18"/>
                <w:szCs w:val="18"/>
                <w:lang w:val="ru-RU"/>
              </w:rPr>
              <w:t>)</w:t>
            </w:r>
          </w:p>
          <w:p w14:paraId="0A71686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w:t>
            </w:r>
            <w:r w:rsidRPr="0038312D">
              <w:rPr>
                <w:rFonts w:ascii="Times New Roman" w:eastAsia="Calibri" w:hAnsi="Times New Roman" w:cs="Times New Roman"/>
                <w:sz w:val="18"/>
                <w:szCs w:val="18"/>
                <w:lang w:val="sr-Latn-CS"/>
              </w:rPr>
              <w:t>4</w:t>
            </w:r>
            <w:r w:rsidRPr="0038312D">
              <w:rPr>
                <w:rFonts w:ascii="Times New Roman" w:eastAsia="Calibri" w:hAnsi="Times New Roman" w:cs="Times New Roman"/>
                <w:sz w:val="18"/>
                <w:szCs w:val="18"/>
                <w:lang w:val="ru-RU"/>
              </w:rPr>
              <w:t>)</w:t>
            </w:r>
          </w:p>
          <w:p w14:paraId="3BC02DA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c>
          <w:tcPr>
            <w:tcW w:w="2714" w:type="dxa"/>
            <w:vAlign w:val="center"/>
          </w:tcPr>
          <w:p w14:paraId="56A577BA" w14:textId="77777777" w:rsidR="00E57FB5" w:rsidRPr="0038312D" w:rsidRDefault="00E57FB5" w:rsidP="003D535D">
            <w:pPr>
              <w:spacing w:after="0" w:line="240" w:lineRule="auto"/>
              <w:ind w:left="91"/>
              <w:jc w:val="both"/>
              <w:rPr>
                <w:rFonts w:ascii="Times New Roman" w:eastAsia="Times New Roman" w:hAnsi="Times New Roman" w:cs="Times New Roman"/>
                <w:sz w:val="18"/>
                <w:szCs w:val="18"/>
                <w:lang w:val="sr-Cyrl-RS" w:eastAsia="sr-Latn-RS"/>
              </w:rPr>
            </w:pPr>
            <w:r w:rsidRPr="0038312D">
              <w:rPr>
                <w:rFonts w:ascii="Times New Roman" w:eastAsia="Times New Roman" w:hAnsi="Times New Roman" w:cs="Times New Roman"/>
                <w:sz w:val="18"/>
                <w:szCs w:val="18"/>
                <w:lang w:val="sr-Cyrl-RS" w:eastAsia="sr-Latn-RS"/>
              </w:rPr>
              <w:t>Strateški energetski projekti mogu biti:</w:t>
            </w:r>
          </w:p>
          <w:p w14:paraId="24EEFCA7" w14:textId="77777777" w:rsidR="00E57FB5" w:rsidRPr="0038312D" w:rsidRDefault="00E57FB5" w:rsidP="003D535D">
            <w:pPr>
              <w:spacing w:after="0" w:line="240" w:lineRule="auto"/>
              <w:jc w:val="both"/>
              <w:rPr>
                <w:rFonts w:ascii="Times New Roman" w:hAnsi="Times New Roman" w:cs="Times New Roman"/>
                <w:sz w:val="18"/>
                <w:szCs w:val="18"/>
                <w:lang w:val="sr-Latn-CS"/>
              </w:rPr>
            </w:pPr>
          </w:p>
          <w:p w14:paraId="7F5F6396" w14:textId="77777777" w:rsidR="00E57FB5" w:rsidRPr="0038312D" w:rsidRDefault="00E57FB5" w:rsidP="003D535D">
            <w:pPr>
              <w:spacing w:after="0" w:line="240" w:lineRule="auto"/>
              <w:jc w:val="both"/>
              <w:rPr>
                <w:rFonts w:ascii="Times New Roman" w:hAnsi="Times New Roman" w:cs="Times New Roman"/>
                <w:spacing w:val="1"/>
                <w:sz w:val="18"/>
                <w:szCs w:val="18"/>
                <w:lang w:val="sr-Cyrl-RS"/>
              </w:rPr>
            </w:pPr>
            <w:r w:rsidRPr="0038312D">
              <w:rPr>
                <w:rFonts w:ascii="Times New Roman" w:hAnsi="Times New Roman" w:cs="Times New Roman"/>
                <w:sz w:val="18"/>
                <w:szCs w:val="18"/>
                <w:lang w:val="sr-Latn-CS"/>
              </w:rPr>
              <w:t xml:space="preserve">1) </w:t>
            </w:r>
            <w:r w:rsidRPr="0038312D">
              <w:rPr>
                <w:rFonts w:ascii="Times New Roman" w:hAnsi="Times New Roman" w:cs="Times New Roman"/>
                <w:sz w:val="18"/>
                <w:szCs w:val="18"/>
                <w:lang w:val="sr-Cyrl-RS"/>
              </w:rPr>
              <w:t xml:space="preserve">nadzemni elektroenergetski vodovi, napona 220kV i više, podzemni elektroenergetski vodovi napona 110kV i više, sa pratećom opremom </w:t>
            </w:r>
            <w:r w:rsidRPr="0038312D">
              <w:rPr>
                <w:rFonts w:ascii="Times New Roman" w:hAnsi="Times New Roman" w:cs="Times New Roman"/>
                <w:spacing w:val="1"/>
                <w:sz w:val="18"/>
                <w:szCs w:val="18"/>
                <w:lang w:val="sr-Cyrl-RS"/>
              </w:rPr>
              <w:t xml:space="preserve">ili instalacijama kojima se obezbeđuje  bezbedno i efikasno funkcionisanje navedenih elektroenergetskih vodova, </w:t>
            </w:r>
            <w:r w:rsidRPr="0038312D">
              <w:rPr>
                <w:rFonts w:ascii="Times New Roman" w:hAnsi="Times New Roman" w:cs="Times New Roman"/>
                <w:spacing w:val="1"/>
                <w:sz w:val="18"/>
                <w:szCs w:val="18"/>
                <w:lang w:val="sr-Cyrl-RS"/>
              </w:rPr>
              <w:lastRenderedPageBreak/>
              <w:t>uključujući sisteme zaštite, nadzora i kontrole na svim naponskim nivoima i transformatorskim stanicama;</w:t>
            </w:r>
          </w:p>
          <w:p w14:paraId="097C784B" w14:textId="77777777" w:rsidR="00E57FB5" w:rsidRPr="0038312D" w:rsidRDefault="00E57FB5" w:rsidP="003D535D">
            <w:pPr>
              <w:spacing w:after="0" w:line="240" w:lineRule="auto"/>
              <w:jc w:val="both"/>
              <w:rPr>
                <w:rFonts w:ascii="Times New Roman" w:hAnsi="Times New Roman" w:cs="Times New Roman"/>
                <w:sz w:val="18"/>
                <w:szCs w:val="18"/>
                <w:lang w:val="sr-Cyrl-RS"/>
              </w:rPr>
            </w:pPr>
          </w:p>
          <w:p w14:paraId="071F8009" w14:textId="77777777" w:rsidR="00E57FB5" w:rsidRPr="0038312D" w:rsidRDefault="00E57FB5" w:rsidP="003D535D">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4) </w:t>
            </w:r>
            <w:r w:rsidRPr="0038312D">
              <w:rPr>
                <w:rFonts w:ascii="Times New Roman" w:hAnsi="Times New Roman" w:cs="Times New Roman"/>
                <w:sz w:val="18"/>
                <w:szCs w:val="18"/>
                <w:lang w:val="sr-Cyrl-RS"/>
              </w:rPr>
              <w:t>prekogranični nadzemni elektroenergetski vodovi, napona 220kV i više, prekogranični podzemni elektroenergetski vodovi napona 110kV i više, sa pratećom opremom ili instalacijama kojima se obezbeđuje  bezbedno i efikasno funkcionisanje navedenih elektroenergetskih vodova, uključujući sisteme zaštite, nadzora i kontrole na svim naponskim nivoima</w:t>
            </w:r>
            <w:r w:rsidRPr="0038312D">
              <w:rPr>
                <w:rFonts w:ascii="Times New Roman" w:hAnsi="Times New Roman" w:cs="Times New Roman"/>
                <w:spacing w:val="1"/>
                <w:sz w:val="18"/>
                <w:szCs w:val="18"/>
                <w:lang w:val="sr-Cyrl-RS"/>
              </w:rPr>
              <w:t xml:space="preserve"> i transformatorskim stanicama;</w:t>
            </w:r>
          </w:p>
          <w:p w14:paraId="5E7F81E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CA67FCF"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lastRenderedPageBreak/>
              <w:t>DU</w:t>
            </w:r>
          </w:p>
        </w:tc>
        <w:tc>
          <w:tcPr>
            <w:tcW w:w="1292" w:type="dxa"/>
            <w:gridSpan w:val="2"/>
            <w:vAlign w:val="center"/>
          </w:tcPr>
          <w:p w14:paraId="7A8217B0"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BD3C5ED"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zakona o izmenama i dopunama Zakona o energetici ostvariće se potpuna usklađenost sa Odlukom Ministarskog saveta 2023/02/MC-EnC o izmenama i dopunama Aneksa I Ugovora o Energetskoj zajednici radi </w:t>
            </w:r>
            <w:r w:rsidRPr="0038312D">
              <w:rPr>
                <w:rFonts w:ascii="Times New Roman" w:eastAsia="Calibri" w:hAnsi="Times New Roman" w:cs="Times New Roman"/>
                <w:sz w:val="18"/>
                <w:szCs w:val="18"/>
                <w:lang w:val="sr-Cyrl-CS"/>
              </w:rPr>
              <w:lastRenderedPageBreak/>
              <w:t>prilagođavanja i usvajanja Uredbe (EU) 2022/869 o smernicama za transevropsku energetsku infrastrukturu.</w:t>
            </w:r>
          </w:p>
        </w:tc>
      </w:tr>
      <w:tr w:rsidR="00E57FB5" w:rsidRPr="0038312D" w14:paraId="7AF7EE26" w14:textId="77777777" w:rsidTr="003D535D">
        <w:tblPrEx>
          <w:jc w:val="left"/>
        </w:tblPrEx>
        <w:trPr>
          <w:tblHeader/>
        </w:trPr>
        <w:tc>
          <w:tcPr>
            <w:tcW w:w="1398" w:type="dxa"/>
            <w:shd w:val="clear" w:color="auto" w:fill="D9D9D9"/>
          </w:tcPr>
          <w:p w14:paraId="2BB68058"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lastRenderedPageBreak/>
              <w:t>Annex II</w:t>
            </w:r>
          </w:p>
          <w:p w14:paraId="13666A44"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5B07725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(b)</w:t>
            </w:r>
          </w:p>
          <w:p w14:paraId="47B96F6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2FF4BF4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any equipment or installation falling under energy infrastructure category referred to in point (a) enabling transmission of offshore renewable electricity from the offshore generation sites (energy infrastructure for offshore renewable electricity);</w:t>
            </w:r>
          </w:p>
          <w:p w14:paraId="5B5AEB5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4A038608"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tcPr>
          <w:p w14:paraId="0439AC70"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398FBC3"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NP</w:t>
            </w:r>
          </w:p>
        </w:tc>
        <w:tc>
          <w:tcPr>
            <w:tcW w:w="1292" w:type="dxa"/>
            <w:gridSpan w:val="2"/>
          </w:tcPr>
          <w:p w14:paraId="0EFF2EBA"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Teritorija Republike Srbije ne izlazi na more</w:t>
            </w:r>
          </w:p>
        </w:tc>
        <w:tc>
          <w:tcPr>
            <w:tcW w:w="2233" w:type="dxa"/>
          </w:tcPr>
          <w:p w14:paraId="6EB0429A"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0DA7B9D" w14:textId="77777777" w:rsidTr="003D535D">
        <w:tblPrEx>
          <w:jc w:val="left"/>
        </w:tblPrEx>
        <w:trPr>
          <w:tblHeader/>
        </w:trPr>
        <w:tc>
          <w:tcPr>
            <w:tcW w:w="1398" w:type="dxa"/>
            <w:shd w:val="clear" w:color="auto" w:fill="D9D9D9"/>
          </w:tcPr>
          <w:p w14:paraId="147830B4"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61F11778"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791E4BA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(c)</w:t>
            </w:r>
          </w:p>
          <w:p w14:paraId="1A48550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63F3AD6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energy storage facilities, in individual or aggregated form, used for storing energy on a permanent or temporary basis in above-ground or underground infrastructure or geological sites, provided they are directly connected to high-voltage transmission lines and distribution lines designed for a voltage of 110 kV or more. For Member States and small isolated systems with a lower voltage overall transmission system, those voltage thresholds are equal to the highest </w:t>
            </w:r>
            <w:r w:rsidRPr="0038312D">
              <w:rPr>
                <w:rFonts w:ascii="Times New Roman" w:eastAsia="Calibri" w:hAnsi="Times New Roman" w:cs="Times New Roman"/>
                <w:sz w:val="18"/>
                <w:szCs w:val="18"/>
                <w:lang w:val="sr-Cyrl-CS"/>
              </w:rPr>
              <w:lastRenderedPageBreak/>
              <w:t>voltage level in their respective electricity systems;</w:t>
            </w:r>
          </w:p>
          <w:p w14:paraId="16507F3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292E4F2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709F7F01"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31D8428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24.37a.1.2)</w:t>
            </w:r>
            <w:r w:rsidRPr="0038312D">
              <w:rPr>
                <w:rFonts w:ascii="Times New Roman" w:eastAsia="Calibri" w:hAnsi="Times New Roman" w:cs="Times New Roman"/>
                <w:sz w:val="18"/>
                <w:szCs w:val="18"/>
                <w:lang w:val="sr-Latn-CS"/>
              </w:rPr>
              <w:t xml:space="preserve"> </w:t>
            </w:r>
          </w:p>
        </w:tc>
        <w:tc>
          <w:tcPr>
            <w:tcW w:w="2714" w:type="dxa"/>
          </w:tcPr>
          <w:p w14:paraId="507CDD94" w14:textId="77777777" w:rsidR="00E57FB5" w:rsidRPr="0038312D" w:rsidRDefault="00E57FB5" w:rsidP="003D535D">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Cyrl-RS"/>
              </w:rPr>
              <w:t>2)</w:t>
            </w:r>
            <w:r w:rsidRPr="0038312D">
              <w:rPr>
                <w:rFonts w:ascii="Times New Roman" w:hAnsi="Times New Roman" w:cs="Times New Roman"/>
                <w:sz w:val="18"/>
                <w:szCs w:val="18"/>
                <w:lang w:val="sr-Latn-CS"/>
              </w:rPr>
              <w:t xml:space="preserve"> </w:t>
            </w:r>
            <w:r w:rsidRPr="0038312D">
              <w:rPr>
                <w:rFonts w:ascii="Times New Roman" w:hAnsi="Times New Roman" w:cs="Times New Roman"/>
                <w:sz w:val="18"/>
                <w:szCs w:val="18"/>
                <w:lang w:val="sr-Cyrl-RS"/>
              </w:rPr>
              <w:t xml:space="preserve">objekti za skladištenje električne energije </w:t>
            </w:r>
            <w:r w:rsidRPr="0038312D">
              <w:rPr>
                <w:rFonts w:ascii="Times New Roman" w:hAnsi="Times New Roman" w:cs="Times New Roman"/>
                <w:spacing w:val="1"/>
                <w:sz w:val="18"/>
                <w:szCs w:val="18"/>
                <w:lang w:val="sr-Cyrl-RS"/>
              </w:rPr>
              <w:t xml:space="preserve">u pojedinačnom ili zbirnom obliku, koji se koriste za trajno ili privremeno skladištenje energije u nadzemnoj ili podzemnoj infrastrukturi ili geološkim lokacijama, pod uslovom da su direktno povezani na elektroenergetske vodove projektovane za napon od 110 </w:t>
            </w:r>
            <w:r w:rsidRPr="0038312D">
              <w:rPr>
                <w:rFonts w:ascii="Times New Roman" w:hAnsi="Times New Roman" w:cs="Times New Roman"/>
                <w:sz w:val="18"/>
                <w:szCs w:val="18"/>
                <w:lang w:val="sr-Cyrl-RS"/>
              </w:rPr>
              <w:t>kV</w:t>
            </w:r>
            <w:r w:rsidRPr="0038312D">
              <w:rPr>
                <w:rFonts w:ascii="Times New Roman" w:hAnsi="Times New Roman" w:cs="Times New Roman"/>
                <w:spacing w:val="1"/>
                <w:sz w:val="18"/>
                <w:szCs w:val="18"/>
                <w:lang w:val="sr-Cyrl-RS"/>
              </w:rPr>
              <w:t xml:space="preserve"> ili više </w:t>
            </w:r>
            <w:r w:rsidRPr="0038312D">
              <w:rPr>
                <w:rFonts w:ascii="Times New Roman" w:hAnsi="Times New Roman" w:cs="Times New Roman"/>
                <w:sz w:val="18"/>
                <w:szCs w:val="18"/>
                <w:lang w:val="sr-Cyrl-RS"/>
              </w:rPr>
              <w:t xml:space="preserve">sa pratećom opremom </w:t>
            </w:r>
            <w:r w:rsidRPr="0038312D">
              <w:rPr>
                <w:rFonts w:ascii="Times New Roman" w:hAnsi="Times New Roman" w:cs="Times New Roman"/>
                <w:spacing w:val="1"/>
                <w:sz w:val="18"/>
                <w:szCs w:val="18"/>
                <w:lang w:val="sr-Cyrl-RS"/>
              </w:rPr>
              <w:t xml:space="preserve">ili instalacijama kojima se obezbeđuje  bezbedno i efikasno funkcionisanje navedenih elektroenergetskih vodova, uključujući sisteme zaštite, </w:t>
            </w:r>
            <w:r w:rsidRPr="0038312D">
              <w:rPr>
                <w:rFonts w:ascii="Times New Roman" w:hAnsi="Times New Roman" w:cs="Times New Roman"/>
                <w:spacing w:val="1"/>
                <w:sz w:val="18"/>
                <w:szCs w:val="18"/>
                <w:lang w:val="sr-Cyrl-RS"/>
              </w:rPr>
              <w:lastRenderedPageBreak/>
              <w:t>nadzora i kontrole na svim naponskim nivoima i transformatorskim stanicama;</w:t>
            </w:r>
          </w:p>
          <w:p w14:paraId="614D5ADE"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6FA3EA43"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DU</w:t>
            </w:r>
          </w:p>
        </w:tc>
        <w:tc>
          <w:tcPr>
            <w:tcW w:w="1292" w:type="dxa"/>
            <w:gridSpan w:val="2"/>
          </w:tcPr>
          <w:p w14:paraId="7E5EF097"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1B40D28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zakona o izmenama i dopunama Zakona o energetici ostvariće se potpuna usklađenost sa Odlukom Ministarskog saveta 2023/02/MC-EnC o izmenama i dopunama Aneksa I Ugovora o Energetskoj zajednici radi prilagođavanja i usvajanja Uredbe (EU) 2022/869 o smernicama za </w:t>
            </w:r>
            <w:r w:rsidRPr="0038312D">
              <w:rPr>
                <w:rFonts w:ascii="Times New Roman" w:eastAsia="Calibri" w:hAnsi="Times New Roman" w:cs="Times New Roman"/>
                <w:sz w:val="18"/>
                <w:szCs w:val="18"/>
                <w:lang w:val="sr-Cyrl-CS"/>
              </w:rPr>
              <w:lastRenderedPageBreak/>
              <w:t>transevropsku energetsku infrastrukturu.</w:t>
            </w:r>
          </w:p>
        </w:tc>
      </w:tr>
      <w:tr w:rsidR="00E57FB5" w:rsidRPr="0038312D" w14:paraId="71BF9AE6" w14:textId="77777777" w:rsidTr="003D535D">
        <w:tblPrEx>
          <w:jc w:val="left"/>
        </w:tblPrEx>
        <w:trPr>
          <w:tblHeader/>
        </w:trPr>
        <w:tc>
          <w:tcPr>
            <w:tcW w:w="1398" w:type="dxa"/>
            <w:shd w:val="clear" w:color="auto" w:fill="D9D9D9"/>
          </w:tcPr>
          <w:p w14:paraId="78C4EA55"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lastRenderedPageBreak/>
              <w:t>Annex II</w:t>
            </w:r>
          </w:p>
          <w:p w14:paraId="355EB6D7"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0D99289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w:t>
            </w:r>
          </w:p>
          <w:p w14:paraId="47B77542"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641A529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any equipment or installation essential for the systems referred to in points (a), (b) and (c) to operate safely, securely and efficiently, including protection, monitoring and control systems at all voltage levels and substations;</w:t>
            </w:r>
          </w:p>
          <w:p w14:paraId="60DF877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7A5C5F1A"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01.</w:t>
            </w:r>
          </w:p>
          <w:p w14:paraId="44B9733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24.37a.1.1)</w:t>
            </w:r>
          </w:p>
          <w:p w14:paraId="1985C7B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24.37a.1.2)</w:t>
            </w:r>
          </w:p>
          <w:p w14:paraId="3C4C97CB"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24.37a.1.4)</w:t>
            </w:r>
          </w:p>
          <w:p w14:paraId="6168236E"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tcPr>
          <w:p w14:paraId="7324273F" w14:textId="77777777" w:rsidR="00E57FB5" w:rsidRPr="0038312D" w:rsidRDefault="00E57FB5" w:rsidP="003D535D">
            <w:pPr>
              <w:spacing w:after="0" w:line="240" w:lineRule="auto"/>
              <w:jc w:val="both"/>
              <w:rPr>
                <w:rFonts w:ascii="Times New Roman" w:hAnsi="Times New Roman" w:cs="Times New Roman"/>
                <w:spacing w:val="1"/>
                <w:sz w:val="18"/>
                <w:szCs w:val="18"/>
                <w:lang w:val="sr-Cyrl-RS"/>
              </w:rPr>
            </w:pPr>
            <w:r w:rsidRPr="0038312D">
              <w:rPr>
                <w:rFonts w:ascii="Times New Roman" w:hAnsi="Times New Roman" w:cs="Times New Roman"/>
                <w:sz w:val="18"/>
                <w:szCs w:val="18"/>
                <w:lang w:val="sr-Latn-CS"/>
              </w:rPr>
              <w:t xml:space="preserve">1) </w:t>
            </w:r>
            <w:r w:rsidRPr="0038312D">
              <w:rPr>
                <w:rFonts w:ascii="Times New Roman" w:hAnsi="Times New Roman" w:cs="Times New Roman"/>
                <w:sz w:val="18"/>
                <w:szCs w:val="18"/>
                <w:lang w:val="sr-Cyrl-RS"/>
              </w:rPr>
              <w:t xml:space="preserve">nadzemni elektroenergetski vodovi, napona 220kV i više, podzemni elektroenergetski vodovi napona 110kV i više, sa pratećom opremom </w:t>
            </w:r>
            <w:r w:rsidRPr="0038312D">
              <w:rPr>
                <w:rFonts w:ascii="Times New Roman" w:hAnsi="Times New Roman" w:cs="Times New Roman"/>
                <w:spacing w:val="1"/>
                <w:sz w:val="18"/>
                <w:szCs w:val="18"/>
                <w:lang w:val="sr-Cyrl-RS"/>
              </w:rPr>
              <w:t>ili instalacijama kojima se obezbeđuje  bezbedno i efikasno funkcionisanje navedenih elektroenergetskih vodova, uključujući sisteme zaštite, nadzora i kontrole na svim naponskim nivoima i transformatorskim stanicama;</w:t>
            </w:r>
          </w:p>
          <w:p w14:paraId="4D02987E" w14:textId="77777777" w:rsidR="00E57FB5" w:rsidRPr="0038312D" w:rsidRDefault="00E57FB5" w:rsidP="003D535D">
            <w:pPr>
              <w:spacing w:after="0" w:line="240" w:lineRule="auto"/>
              <w:jc w:val="both"/>
              <w:rPr>
                <w:rFonts w:ascii="Times New Roman" w:hAnsi="Times New Roman" w:cs="Times New Roman"/>
                <w:sz w:val="18"/>
                <w:szCs w:val="18"/>
                <w:lang w:val="sr-Cyrl-RS"/>
              </w:rPr>
            </w:pPr>
          </w:p>
          <w:p w14:paraId="77A0F64F" w14:textId="77777777" w:rsidR="00E57FB5" w:rsidRPr="0038312D" w:rsidRDefault="00E57FB5" w:rsidP="003D535D">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Cyrl-RS"/>
              </w:rPr>
              <w:t>2)</w:t>
            </w:r>
            <w:r w:rsidRPr="0038312D">
              <w:rPr>
                <w:rFonts w:ascii="Times New Roman" w:hAnsi="Times New Roman" w:cs="Times New Roman"/>
                <w:sz w:val="18"/>
                <w:szCs w:val="18"/>
                <w:lang w:val="sr-Latn-CS"/>
              </w:rPr>
              <w:t xml:space="preserve"> </w:t>
            </w:r>
            <w:r w:rsidRPr="0038312D">
              <w:rPr>
                <w:rFonts w:ascii="Times New Roman" w:hAnsi="Times New Roman" w:cs="Times New Roman"/>
                <w:sz w:val="18"/>
                <w:szCs w:val="18"/>
                <w:lang w:val="sr-Cyrl-RS"/>
              </w:rPr>
              <w:t xml:space="preserve">objekti za skladištenje električne energije </w:t>
            </w:r>
            <w:r w:rsidRPr="0038312D">
              <w:rPr>
                <w:rFonts w:ascii="Times New Roman" w:hAnsi="Times New Roman" w:cs="Times New Roman"/>
                <w:spacing w:val="1"/>
                <w:sz w:val="18"/>
                <w:szCs w:val="18"/>
                <w:lang w:val="sr-Cyrl-RS"/>
              </w:rPr>
              <w:t xml:space="preserve">u pojedinačnom ili zbirnom obliku, koji se koriste za trajno ili privremeno skladištenje energije u nadzemnoj ili podzemnoj infrastrukturi ili geološkim lokacijama, pod uslovom da su direktno povezani na elektroenergetske vodove projektovane za napon od 110 </w:t>
            </w:r>
            <w:r w:rsidRPr="0038312D">
              <w:rPr>
                <w:rFonts w:ascii="Times New Roman" w:hAnsi="Times New Roman" w:cs="Times New Roman"/>
                <w:sz w:val="18"/>
                <w:szCs w:val="18"/>
                <w:lang w:val="sr-Cyrl-RS"/>
              </w:rPr>
              <w:t>kV</w:t>
            </w:r>
            <w:r w:rsidRPr="0038312D">
              <w:rPr>
                <w:rFonts w:ascii="Times New Roman" w:hAnsi="Times New Roman" w:cs="Times New Roman"/>
                <w:spacing w:val="1"/>
                <w:sz w:val="18"/>
                <w:szCs w:val="18"/>
                <w:lang w:val="sr-Cyrl-RS"/>
              </w:rPr>
              <w:t xml:space="preserve"> ili više </w:t>
            </w:r>
            <w:r w:rsidRPr="0038312D">
              <w:rPr>
                <w:rFonts w:ascii="Times New Roman" w:hAnsi="Times New Roman" w:cs="Times New Roman"/>
                <w:sz w:val="18"/>
                <w:szCs w:val="18"/>
                <w:lang w:val="sr-Cyrl-RS"/>
              </w:rPr>
              <w:t xml:space="preserve">sa pratećom opremom </w:t>
            </w:r>
            <w:r w:rsidRPr="0038312D">
              <w:rPr>
                <w:rFonts w:ascii="Times New Roman" w:hAnsi="Times New Roman" w:cs="Times New Roman"/>
                <w:spacing w:val="1"/>
                <w:sz w:val="18"/>
                <w:szCs w:val="18"/>
                <w:lang w:val="sr-Cyrl-RS"/>
              </w:rPr>
              <w:t>ili instalacijama kojima se obezbeđuje  bezbedno i efikasno funkcionisanje navedenih elektroenergetskih vodova, uključujući sisteme zaštite, nadzora i kontrole na svim naponskim nivoima i transformatorskim stanicama;</w:t>
            </w:r>
          </w:p>
          <w:p w14:paraId="75161B0C" w14:textId="77777777" w:rsidR="00E57FB5" w:rsidRPr="0038312D" w:rsidRDefault="00E57FB5" w:rsidP="003D535D">
            <w:pPr>
              <w:spacing w:after="0" w:line="240" w:lineRule="auto"/>
              <w:jc w:val="both"/>
              <w:rPr>
                <w:rFonts w:ascii="Times New Roman" w:hAnsi="Times New Roman" w:cs="Times New Roman"/>
                <w:sz w:val="18"/>
                <w:szCs w:val="18"/>
                <w:lang w:val="sr-Cyrl-RS"/>
              </w:rPr>
            </w:pPr>
          </w:p>
          <w:p w14:paraId="6C18A05B" w14:textId="77777777" w:rsidR="00E57FB5" w:rsidRPr="0038312D" w:rsidRDefault="00E57FB5" w:rsidP="003D535D">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4) </w:t>
            </w:r>
            <w:r w:rsidRPr="0038312D">
              <w:rPr>
                <w:rFonts w:ascii="Times New Roman" w:hAnsi="Times New Roman" w:cs="Times New Roman"/>
                <w:sz w:val="18"/>
                <w:szCs w:val="18"/>
                <w:lang w:val="sr-Cyrl-RS"/>
              </w:rPr>
              <w:t xml:space="preserve">prekogranični nadzemni elektroenergetski vodovi, napona 220kV i više, prekogranični podzemni elektroenergetski vodovi napona 110kV i više, sa pratećom opremom ili instalacijama kojima se obezbeđuje  bezbedno i efikasno </w:t>
            </w:r>
            <w:r w:rsidRPr="0038312D">
              <w:rPr>
                <w:rFonts w:ascii="Times New Roman" w:hAnsi="Times New Roman" w:cs="Times New Roman"/>
                <w:sz w:val="18"/>
                <w:szCs w:val="18"/>
                <w:lang w:val="sr-Cyrl-RS"/>
              </w:rPr>
              <w:lastRenderedPageBreak/>
              <w:t>funkcionisanje navedenih elektroenergetskih vodova, uključujući sisteme zaštite, nadzora i kontrole na svim naponskim nivoima</w:t>
            </w:r>
            <w:r w:rsidRPr="0038312D">
              <w:rPr>
                <w:rFonts w:ascii="Times New Roman" w:hAnsi="Times New Roman" w:cs="Times New Roman"/>
                <w:spacing w:val="1"/>
                <w:sz w:val="18"/>
                <w:szCs w:val="18"/>
                <w:lang w:val="sr-Cyrl-RS"/>
              </w:rPr>
              <w:t xml:space="preserve"> i transformatorskim stanicama;</w:t>
            </w:r>
          </w:p>
          <w:p w14:paraId="07CCACC9"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20D59E2"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DU</w:t>
            </w:r>
          </w:p>
        </w:tc>
        <w:tc>
          <w:tcPr>
            <w:tcW w:w="1292" w:type="dxa"/>
            <w:gridSpan w:val="2"/>
          </w:tcPr>
          <w:p w14:paraId="653E1C26"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1ACAD0F9"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4016A226" w14:textId="77777777" w:rsidTr="003D535D">
        <w:tblPrEx>
          <w:jc w:val="left"/>
        </w:tblPrEx>
        <w:trPr>
          <w:tblHeader/>
        </w:trPr>
        <w:tc>
          <w:tcPr>
            <w:tcW w:w="1398" w:type="dxa"/>
            <w:shd w:val="clear" w:color="auto" w:fill="D9D9D9"/>
          </w:tcPr>
          <w:p w14:paraId="5EA65D78"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2F5C9E6F"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0F36DA0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(e)</w:t>
            </w:r>
          </w:p>
          <w:p w14:paraId="4655E50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p>
          <w:p w14:paraId="68400BC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smart electricity grids: any equipment or installation, digital systems and components integrating information and communication technologies (ICT), through operational digital platforms, control systems and sensor technologies both at transmission and medium and high voltage distribution level, aiming to ensure a more efficient and intelligent electricity transmission and distribution network, increased capacity to integrate new forms of generation, energy storage and consumption and facilitating new business models and market structures, including investments in islands and island systems to decrease energy isolation, to support innovative and other solutions involving at least two Member States with a significant positive impact on the Union’s 2030 targets for energy and climate and its 2050 climate neutrality objective, and to contribute significantly to the sustainability of the island energy system and that of the Union;</w:t>
            </w:r>
          </w:p>
          <w:p w14:paraId="7C10505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18E625C5"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01.</w:t>
            </w:r>
          </w:p>
          <w:p w14:paraId="5043B13C"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 xml:space="preserve">24.37.a.1.3) </w:t>
            </w:r>
          </w:p>
        </w:tc>
        <w:tc>
          <w:tcPr>
            <w:tcW w:w="2714" w:type="dxa"/>
          </w:tcPr>
          <w:p w14:paraId="4FF32D41" w14:textId="77777777" w:rsidR="00E57FB5" w:rsidRPr="0038312D" w:rsidRDefault="00E57FB5" w:rsidP="003D535D">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3) </w:t>
            </w:r>
            <w:r w:rsidRPr="0038312D">
              <w:rPr>
                <w:rFonts w:ascii="Times New Roman" w:hAnsi="Times New Roman" w:cs="Times New Roman"/>
                <w:sz w:val="18"/>
                <w:szCs w:val="18"/>
                <w:lang w:val="sr-Cyrl-RS"/>
              </w:rPr>
              <w:t>pametne elektroenergetske mreže: oprema ili instalacije, digitalni sistemi i komponente koje integrišu informacione i komunikacione tehnologije (IKT), preko operativnih digitalnih platformi, kontrolnih sistema i senzorskih tehnologija, kako na nivou prenosa, tako i na nivou distribucije električne energije, sa ciljem da se obezbedi efikasnija i inteligentnija mreža za prenos i distribuciju električne energije, povećan kapacitet za integraciju novih oblika proizvodnje, skladištenja i potrošnje energije i omogućavanje novih poslovnih modela i tržišnih struktura;</w:t>
            </w:r>
          </w:p>
          <w:p w14:paraId="3F1BE404"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2C073948"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DU</w:t>
            </w:r>
          </w:p>
        </w:tc>
        <w:tc>
          <w:tcPr>
            <w:tcW w:w="1292" w:type="dxa"/>
            <w:gridSpan w:val="2"/>
          </w:tcPr>
          <w:p w14:paraId="2C2D521A"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61B38C34"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5446CAE1" w14:textId="77777777" w:rsidTr="003D535D">
        <w:tblPrEx>
          <w:jc w:val="left"/>
        </w:tblPrEx>
        <w:trPr>
          <w:tblHeader/>
        </w:trPr>
        <w:tc>
          <w:tcPr>
            <w:tcW w:w="1398" w:type="dxa"/>
            <w:shd w:val="clear" w:color="auto" w:fill="D9D9D9"/>
          </w:tcPr>
          <w:p w14:paraId="3F575DED"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15BB29F0"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484491B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(f)</w:t>
            </w:r>
          </w:p>
          <w:p w14:paraId="0995DAF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any equipment or installation falling under energy infrastructure category referred to in point (a) having dual functionality: interconnection and offshore grid connection system from the offshore renewable generation sites to two or more Member States and </w:t>
            </w:r>
            <w:r w:rsidRPr="0038312D">
              <w:rPr>
                <w:rFonts w:ascii="Times New Roman" w:eastAsia="Calibri" w:hAnsi="Times New Roman" w:cs="Times New Roman"/>
                <w:sz w:val="18"/>
                <w:szCs w:val="18"/>
                <w:lang w:val="sr-Cyrl-CS"/>
              </w:rPr>
              <w:lastRenderedPageBreak/>
              <w:t>third countries participating in projects on the Union list, including the onshore prolongation of this equipment up to the first substation in the onshore transmission system, as well as any offshore adjacent equipment or installation essential to operate safely, securely and efficiently, including protection, monitoring and control systems, and necessary substations if they also ensure technology interoperability, inter alia, interface compatibility between various technologies (offshore grids for renewable energy);</w:t>
            </w:r>
          </w:p>
          <w:p w14:paraId="54FD066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09EB4F6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tcPr>
          <w:p w14:paraId="2351B574"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0AADBDD"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NP</w:t>
            </w:r>
          </w:p>
        </w:tc>
        <w:tc>
          <w:tcPr>
            <w:tcW w:w="1292" w:type="dxa"/>
            <w:gridSpan w:val="2"/>
          </w:tcPr>
          <w:p w14:paraId="05C17405"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Teritorija Republike Srbije ne izlazi na more</w:t>
            </w:r>
          </w:p>
        </w:tc>
        <w:tc>
          <w:tcPr>
            <w:tcW w:w="2233" w:type="dxa"/>
          </w:tcPr>
          <w:p w14:paraId="698CA946"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70761986" w14:textId="77777777" w:rsidTr="003D535D">
        <w:tblPrEx>
          <w:jc w:val="left"/>
        </w:tblPrEx>
        <w:trPr>
          <w:tblHeader/>
        </w:trPr>
        <w:tc>
          <w:tcPr>
            <w:tcW w:w="1398" w:type="dxa"/>
            <w:shd w:val="clear" w:color="auto" w:fill="D9D9D9"/>
          </w:tcPr>
          <w:p w14:paraId="3AE1FB85" w14:textId="77777777" w:rsidR="00E57FB5" w:rsidRPr="0038312D" w:rsidRDefault="00E57FB5" w:rsidP="003D535D">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0A7AF8BC"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hAnsi="Times New Roman" w:cs="Times New Roman"/>
                <w:sz w:val="18"/>
                <w:szCs w:val="18"/>
                <w:lang w:val="sr-Cyrl-CS"/>
              </w:rPr>
              <w:t>1(2)</w:t>
            </w:r>
          </w:p>
        </w:tc>
        <w:tc>
          <w:tcPr>
            <w:tcW w:w="2989" w:type="dxa"/>
            <w:shd w:val="clear" w:color="auto" w:fill="D9D9D9"/>
          </w:tcPr>
          <w:p w14:paraId="2AA4E87D"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b/>
            </w:r>
          </w:p>
          <w:p w14:paraId="1377D2FD" w14:textId="77777777" w:rsidR="00E57FB5" w:rsidRPr="0038312D" w:rsidRDefault="00E57FB5" w:rsidP="003D535D">
            <w:pPr>
              <w:pStyle w:val="ListParagraph"/>
              <w:numPr>
                <w:ilvl w:val="0"/>
                <w:numId w:val="4"/>
              </w:numPr>
              <w:spacing w:after="0" w:line="240" w:lineRule="auto"/>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concerning smart gas grids: any of the following equipment or installation aiming to enable and facilitate the integration of a plurality of low-carbon and particularly renewable gases, including biomethane or hydrogen, into the gas network: digital systems and components integrating ICT, control systems and sensor technologies to enable the interactive and intelligent monitoring, metering, quality control and management of gas production, transmission, distribution, storage and consumption within a gas network. Furthermore, such projects may also include equipment to enable reverse flows from the distribution to the transmission level, including the related physical upgrades if indispensable to the functioning of the equipment and installations </w:t>
            </w:r>
            <w:r w:rsidRPr="0038312D">
              <w:rPr>
                <w:rFonts w:ascii="Times New Roman" w:eastAsia="Calibri" w:hAnsi="Times New Roman" w:cs="Times New Roman"/>
                <w:sz w:val="18"/>
                <w:szCs w:val="18"/>
                <w:lang w:val="en-US"/>
              </w:rPr>
              <w:lastRenderedPageBreak/>
              <w:t>for integration of low-carbon and particularly renewable gases;</w:t>
            </w:r>
          </w:p>
        </w:tc>
        <w:tc>
          <w:tcPr>
            <w:tcW w:w="1386" w:type="dxa"/>
          </w:tcPr>
          <w:p w14:paraId="76E5E3A3"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6C5AD91A"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1.5-8)</w:t>
            </w:r>
          </w:p>
        </w:tc>
        <w:tc>
          <w:tcPr>
            <w:tcW w:w="2714" w:type="dxa"/>
          </w:tcPr>
          <w:p w14:paraId="7447A211"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5) gasovodi za transport prirodnog gasa, biogasa i niskougljeničnih gasova koji su deo transportnog sistema;</w:t>
            </w:r>
          </w:p>
          <w:p w14:paraId="7B216E78"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6) podzemna skladišta prirodnog gasa;</w:t>
            </w:r>
          </w:p>
          <w:p w14:paraId="4C97DB04"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7) postrojenja za prijem, skladištenje, regasifikaciju ili dekompresiju utečnjenog prirodnog gasa ili komprimovanog prirodnog gasa;</w:t>
            </w:r>
          </w:p>
          <w:p w14:paraId="78BA182B"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8) oprema ili instalacije koje su od značaja za bezbedan, siguran i efikasan rad sistema ili omogućuju dvosmeran protok prirodnog gasa, uključujući kompresorske stanice;</w:t>
            </w:r>
          </w:p>
          <w:p w14:paraId="163E2328"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9) pametna gasovodna mreža;</w:t>
            </w:r>
          </w:p>
        </w:tc>
        <w:tc>
          <w:tcPr>
            <w:tcW w:w="1982" w:type="dxa"/>
          </w:tcPr>
          <w:p w14:paraId="68D780FB"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DU</w:t>
            </w:r>
          </w:p>
        </w:tc>
        <w:tc>
          <w:tcPr>
            <w:tcW w:w="1292" w:type="dxa"/>
            <w:gridSpan w:val="2"/>
          </w:tcPr>
          <w:p w14:paraId="2E7C1A0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69FED674"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58C88532" w14:textId="77777777" w:rsidTr="003D535D">
        <w:tblPrEx>
          <w:jc w:val="left"/>
        </w:tblPrEx>
        <w:trPr>
          <w:tblHeader/>
        </w:trPr>
        <w:tc>
          <w:tcPr>
            <w:tcW w:w="1398" w:type="dxa"/>
            <w:shd w:val="clear" w:color="auto" w:fill="D9D9D9"/>
          </w:tcPr>
          <w:p w14:paraId="7DBE0D68"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Annex II</w:t>
            </w:r>
          </w:p>
          <w:p w14:paraId="7F1545FD"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3</w:t>
            </w:r>
            <w:r w:rsidRPr="0038312D">
              <w:rPr>
                <w:rFonts w:ascii="Times New Roman" w:hAnsi="Times New Roman" w:cs="Times New Roman"/>
                <w:sz w:val="18"/>
                <w:szCs w:val="18"/>
              </w:rPr>
              <w:t>)</w:t>
            </w:r>
          </w:p>
        </w:tc>
        <w:tc>
          <w:tcPr>
            <w:tcW w:w="2989" w:type="dxa"/>
            <w:shd w:val="clear" w:color="auto" w:fill="D9D9D9"/>
          </w:tcPr>
          <w:p w14:paraId="6E2AFAC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concerning hydrogen:</w:t>
            </w:r>
          </w:p>
          <w:p w14:paraId="01E4D9C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4384580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4731D41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DA36FF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pipelines for the transport, mainly at high pressure, of hydrogen, including repurposed natural gas infrastructure, giving access to multiple network users on a transparent and non-discriminatory basis;</w:t>
            </w:r>
          </w:p>
          <w:p w14:paraId="620C4F1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0D43342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6635376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229B45D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storage facilities connected to the high-pressure hydrogen pipelines referred to in point (a);</w:t>
            </w:r>
          </w:p>
          <w:p w14:paraId="39D2C6E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66268E6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w:t>
            </w:r>
          </w:p>
          <w:p w14:paraId="7031B52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3DFF415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reception, storage and regasification or decompression facilities for liquefied hydrogen or hydrogen embedded in other chemical substances with the objective of injecting the hydrogen, where applicable, into the grid;</w:t>
            </w:r>
          </w:p>
          <w:p w14:paraId="047A1B2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B7015E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w:t>
            </w:r>
          </w:p>
          <w:p w14:paraId="7606543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6BD93BA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equipment or installation essential for the hydrogen system to operate safely, securely and efficiently or to enable bi-directional capacity, including compressor stations;</w:t>
            </w:r>
          </w:p>
          <w:p w14:paraId="07D39EE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C833D1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w:t>
            </w:r>
          </w:p>
          <w:p w14:paraId="31CC426D"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041D0E9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any equipment or installation allowing for hydrogen or hydrogen-derived fuels use in the transport sector within the TEN-T core network identified in accordance with Chapter III of </w:t>
            </w:r>
            <w:r w:rsidRPr="0038312D">
              <w:rPr>
                <w:rFonts w:ascii="Times New Roman" w:eastAsia="Calibri" w:hAnsi="Times New Roman" w:cs="Times New Roman"/>
                <w:sz w:val="18"/>
                <w:szCs w:val="18"/>
                <w:lang w:val="en-US"/>
              </w:rPr>
              <w:lastRenderedPageBreak/>
              <w:t>Regulation (EU) No 1315/2013 of the European Parliament and of the Council (1).</w:t>
            </w:r>
          </w:p>
          <w:p w14:paraId="69C66DA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7C69B0F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of the assets listed in points (a) to (d) may be newly constructed or repurposed from natural gas to hydrogen, or a combination of the two;</w:t>
            </w:r>
          </w:p>
        </w:tc>
        <w:tc>
          <w:tcPr>
            <w:tcW w:w="1386" w:type="dxa"/>
          </w:tcPr>
          <w:p w14:paraId="7DB66232"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8E2052F"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1.10)</w:t>
            </w:r>
          </w:p>
        </w:tc>
        <w:tc>
          <w:tcPr>
            <w:tcW w:w="2714" w:type="dxa"/>
          </w:tcPr>
          <w:p w14:paraId="71EDC100" w14:textId="77777777" w:rsidR="00E57FB5" w:rsidRPr="0038312D" w:rsidRDefault="00E57FB5" w:rsidP="003D535D">
            <w:pPr>
              <w:spacing w:after="0" w:line="240" w:lineRule="auto"/>
              <w:ind w:left="214"/>
              <w:jc w:val="both"/>
              <w:rPr>
                <w:rFonts w:ascii="Times New Roman" w:eastAsia="Calibri" w:hAnsi="Times New Roman" w:cs="Times New Roman"/>
                <w:sz w:val="18"/>
                <w:szCs w:val="18"/>
                <w:lang w:val="sr-Cyrl-RS"/>
              </w:rPr>
            </w:pPr>
            <w:r w:rsidRPr="0038312D">
              <w:rPr>
                <w:rFonts w:ascii="Times New Roman" w:eastAsia="Calibri" w:hAnsi="Times New Roman" w:cs="Times New Roman"/>
                <w:sz w:val="18"/>
                <w:szCs w:val="18"/>
                <w:lang w:val="sr-Cyrl-RS"/>
              </w:rPr>
              <w:t>10) cevovodi za vodonik, skladišta i druga oprema i uređaji i elektrolizatori za vodonik kapaciteta 50 MW ili više;</w:t>
            </w:r>
          </w:p>
          <w:p w14:paraId="4912108A"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55115B91"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DU</w:t>
            </w:r>
          </w:p>
        </w:tc>
        <w:tc>
          <w:tcPr>
            <w:tcW w:w="1292" w:type="dxa"/>
            <w:gridSpan w:val="2"/>
          </w:tcPr>
          <w:p w14:paraId="15F2B6ED"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1B604F22"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009EBA18" w14:textId="77777777" w:rsidTr="003D535D">
        <w:tblPrEx>
          <w:jc w:val="left"/>
        </w:tblPrEx>
        <w:trPr>
          <w:tblHeader/>
        </w:trPr>
        <w:tc>
          <w:tcPr>
            <w:tcW w:w="1398" w:type="dxa"/>
            <w:shd w:val="clear" w:color="auto" w:fill="D9D9D9"/>
          </w:tcPr>
          <w:p w14:paraId="1FAAB1B2"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Annex II</w:t>
            </w:r>
          </w:p>
          <w:p w14:paraId="726FCE08"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4</w:t>
            </w:r>
            <w:r w:rsidRPr="0038312D">
              <w:rPr>
                <w:rFonts w:ascii="Times New Roman" w:hAnsi="Times New Roman" w:cs="Times New Roman"/>
                <w:sz w:val="18"/>
                <w:szCs w:val="18"/>
              </w:rPr>
              <w:t>)</w:t>
            </w:r>
          </w:p>
        </w:tc>
        <w:tc>
          <w:tcPr>
            <w:tcW w:w="2989" w:type="dxa"/>
            <w:shd w:val="clear" w:color="auto" w:fill="D9D9D9"/>
          </w:tcPr>
          <w:p w14:paraId="463FF6FA"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concerning electrolyser facilities:</w:t>
            </w:r>
          </w:p>
          <w:p w14:paraId="1EF2A83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E2C263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5EC1E1F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4F06BB7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electrolysers that:</w:t>
            </w:r>
          </w:p>
          <w:p w14:paraId="50528BF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09CF498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w:t>
            </w:r>
          </w:p>
          <w:p w14:paraId="7043D97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75FA90E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have at least 50 MW capacity, provided by a single electrolyser or by a set of electrolysers that form a single, coordinated project;</w:t>
            </w:r>
          </w:p>
          <w:p w14:paraId="2895023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7784042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(ii)</w:t>
            </w:r>
          </w:p>
          <w:p w14:paraId="1E9F264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A8C45F0"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the production complies with the life cycle greenhouse gas emissions savings requirement of 70 % relative to a fossil fuel comparator of 94 g CO2eq/MJ as set out in Article 25(2) and Annex V to Directive (EU) 2018/2001. Life cycle greenhouse gas emissions savings are calculated using the methodology referred to in Article 28(5) of Directive (EU) 2018/2001 or, alternatively, using ISO 14067 or ISO 14064-1. The life-cycle greenhouse gas emissions must include indirect emissions. Quantified life-cycle greenhouse gas emission savings are verified in line with Article 30 of Directive (EU) 2018/2001 where applicable, or by an independent third party; and</w:t>
            </w:r>
          </w:p>
          <w:p w14:paraId="5263E15A"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CC91961"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(iii)</w:t>
            </w:r>
          </w:p>
          <w:p w14:paraId="29DF765B"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7CCC4BE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have a network-related function, particularly with a view to overall system flexibility and overall system efficiency of electricity and hydrogen networks;</w:t>
            </w:r>
          </w:p>
          <w:p w14:paraId="4489151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59FAFF7A"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0D27C94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4A61A074"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related equipment, including pipeline connection to the network;</w:t>
            </w:r>
          </w:p>
        </w:tc>
        <w:tc>
          <w:tcPr>
            <w:tcW w:w="1386" w:type="dxa"/>
          </w:tcPr>
          <w:p w14:paraId="1E555F0E"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4C2C588D"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1.10)</w:t>
            </w:r>
          </w:p>
        </w:tc>
        <w:tc>
          <w:tcPr>
            <w:tcW w:w="2714" w:type="dxa"/>
          </w:tcPr>
          <w:p w14:paraId="5C4E0977"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10) cevovodi za vodonik, skladišta i druga oprema i uređaji i elektrolizatori za vodonik kapaciteta 50 MW ili više;</w:t>
            </w:r>
          </w:p>
        </w:tc>
        <w:tc>
          <w:tcPr>
            <w:tcW w:w="1982" w:type="dxa"/>
          </w:tcPr>
          <w:p w14:paraId="38CDF7D1"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DU</w:t>
            </w:r>
          </w:p>
        </w:tc>
        <w:tc>
          <w:tcPr>
            <w:tcW w:w="1292" w:type="dxa"/>
            <w:gridSpan w:val="2"/>
          </w:tcPr>
          <w:p w14:paraId="50A8E1BE"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79E92789"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104772C7" w14:textId="77777777" w:rsidTr="003D535D">
        <w:tblPrEx>
          <w:jc w:val="left"/>
        </w:tblPrEx>
        <w:trPr>
          <w:tblHeader/>
        </w:trPr>
        <w:tc>
          <w:tcPr>
            <w:tcW w:w="1398" w:type="dxa"/>
            <w:shd w:val="clear" w:color="auto" w:fill="D9D9D9"/>
          </w:tcPr>
          <w:p w14:paraId="6455DFFE"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Annex II</w:t>
            </w:r>
          </w:p>
          <w:p w14:paraId="4D7EF2BC" w14:textId="77777777" w:rsidR="00E57FB5" w:rsidRPr="0038312D" w:rsidRDefault="00E57FB5" w:rsidP="003D535D">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5</w:t>
            </w:r>
            <w:r w:rsidRPr="0038312D">
              <w:rPr>
                <w:rFonts w:ascii="Times New Roman" w:hAnsi="Times New Roman" w:cs="Times New Roman"/>
                <w:sz w:val="18"/>
                <w:szCs w:val="18"/>
              </w:rPr>
              <w:t>)</w:t>
            </w:r>
          </w:p>
        </w:tc>
        <w:tc>
          <w:tcPr>
            <w:tcW w:w="2989" w:type="dxa"/>
            <w:shd w:val="clear" w:color="auto" w:fill="D9D9D9"/>
          </w:tcPr>
          <w:p w14:paraId="1A32E4F9"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concerning carbon dioxide:</w:t>
            </w:r>
          </w:p>
          <w:p w14:paraId="2D86F3A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2D3E4DA6"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4A359612"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04CB164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dedicated pipelines, other than upstream pipeline network, used to transport carbon dioxide from more than one source, for the purpose of permanent geological storage of carbon dioxide pursuant to Directive 2009/31/EC;</w:t>
            </w:r>
          </w:p>
          <w:p w14:paraId="7E23085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210414A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349907B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6DCA928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fixed facilities for liquefaction, buffer storage and converters of carbon dioxide in view of its further transportation through pipelines and in dedicated modes of transport such as ship, barge, truck, and train;</w:t>
            </w:r>
          </w:p>
          <w:p w14:paraId="0F655AE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3E5E345A"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w:t>
            </w:r>
          </w:p>
          <w:p w14:paraId="3F0B3D02"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2D30472D"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without prejudice to any prohibition of geological storage of carbon dioxide in a Member State, surface and injection facilities associated with infrastructure within a geological formation that is used, in accordance with Directive 2009/31/EC, for the permanent geological storage of carbon dioxide, </w:t>
            </w:r>
            <w:r w:rsidRPr="0038312D">
              <w:rPr>
                <w:rFonts w:ascii="Times New Roman" w:eastAsia="Calibri" w:hAnsi="Times New Roman" w:cs="Times New Roman"/>
                <w:sz w:val="18"/>
                <w:szCs w:val="18"/>
                <w:lang w:val="en-US"/>
              </w:rPr>
              <w:lastRenderedPageBreak/>
              <w:t>where they do not involve the use of carbon dioxide for the enhanced recovery of hydrocarbons and are necessary to allow the cross-border transport and storage of carbon dioxide;</w:t>
            </w:r>
          </w:p>
          <w:p w14:paraId="30274DD5"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6EE1BEF7"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w:t>
            </w:r>
          </w:p>
          <w:p w14:paraId="6567FAB8"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p>
          <w:p w14:paraId="610A61BF"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equipment or installation essential for the system in question to operate properly, securely and efficiently, including protection, monitoring and control systems.</w:t>
            </w:r>
          </w:p>
        </w:tc>
        <w:tc>
          <w:tcPr>
            <w:tcW w:w="1386" w:type="dxa"/>
          </w:tcPr>
          <w:p w14:paraId="6654D4B8"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F718C1B"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1.11)</w:t>
            </w:r>
          </w:p>
        </w:tc>
        <w:tc>
          <w:tcPr>
            <w:tcW w:w="2714" w:type="dxa"/>
          </w:tcPr>
          <w:p w14:paraId="2218CBEA"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11) cevovode za transport ugljen dioksida za potrebe trajnog geološkog skladištenja, kao i postrojenja i instalacije neophodne za njegov transport.</w:t>
            </w:r>
          </w:p>
        </w:tc>
        <w:tc>
          <w:tcPr>
            <w:tcW w:w="1982" w:type="dxa"/>
          </w:tcPr>
          <w:p w14:paraId="2C539D43"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DU</w:t>
            </w:r>
          </w:p>
        </w:tc>
        <w:tc>
          <w:tcPr>
            <w:tcW w:w="1292" w:type="dxa"/>
            <w:gridSpan w:val="2"/>
          </w:tcPr>
          <w:p w14:paraId="1EC4D13C"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tcPr>
          <w:p w14:paraId="7F9B9F9E"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Donošenjem akta Vlade iz člana 24. stav 2. </w:t>
            </w:r>
            <w:r>
              <w:rPr>
                <w:rStyle w:val="hps"/>
                <w:rFonts w:ascii="Times New Roman" w:hAnsi="Times New Roman" w:cs="Times New Roman"/>
                <w:sz w:val="18"/>
                <w:szCs w:val="18"/>
                <w:lang w:val="sr-Cyrl-RS"/>
              </w:rPr>
              <w:t>Predloga</w:t>
            </w:r>
            <w:r>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zakona o izmenama i dopunama Zakona o energetici ostvariće se potpuna usklađenost sa Odlukom Ministarskog saveta 2023/02/MC-EnC o izmenama i dopunama Aneksa I Ugovora o Energetskoj zajednici radi prilagođavanja i usvajanja Uredbe (EU) 2022/869 o smernicama za transevropsku energetsku infrastrukturu.</w:t>
            </w:r>
          </w:p>
        </w:tc>
      </w:tr>
      <w:tr w:rsidR="00E57FB5" w:rsidRPr="0038312D" w14:paraId="000A8D7E" w14:textId="77777777" w:rsidTr="003D535D">
        <w:tblPrEx>
          <w:jc w:val="left"/>
        </w:tblPrEx>
        <w:trPr>
          <w:tblHeader/>
        </w:trPr>
        <w:tc>
          <w:tcPr>
            <w:tcW w:w="1398" w:type="dxa"/>
            <w:shd w:val="clear" w:color="auto" w:fill="D9D9D9"/>
            <w:vAlign w:val="center"/>
          </w:tcPr>
          <w:p w14:paraId="200AF1DE"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III</w:t>
            </w:r>
          </w:p>
        </w:tc>
        <w:tc>
          <w:tcPr>
            <w:tcW w:w="2989" w:type="dxa"/>
            <w:shd w:val="clear" w:color="auto" w:fill="D9D9D9"/>
            <w:vAlign w:val="center"/>
          </w:tcPr>
          <w:p w14:paraId="5EEDA69E"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Regional lists of projects</w:t>
            </w:r>
          </w:p>
        </w:tc>
        <w:tc>
          <w:tcPr>
            <w:tcW w:w="1386" w:type="dxa"/>
            <w:vAlign w:val="center"/>
          </w:tcPr>
          <w:p w14:paraId="5E1DD47D"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96D9820"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3C71DFDD"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77A5EBC3"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35286CF"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2508DB79" w14:textId="77777777" w:rsidTr="003D535D">
        <w:tblPrEx>
          <w:jc w:val="left"/>
        </w:tblPrEx>
        <w:trPr>
          <w:tblHeader/>
        </w:trPr>
        <w:tc>
          <w:tcPr>
            <w:tcW w:w="1398" w:type="dxa"/>
            <w:shd w:val="clear" w:color="auto" w:fill="D9D9D9"/>
            <w:vAlign w:val="center"/>
          </w:tcPr>
          <w:p w14:paraId="2FE2C988"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IV</w:t>
            </w:r>
          </w:p>
        </w:tc>
        <w:tc>
          <w:tcPr>
            <w:tcW w:w="2989" w:type="dxa"/>
            <w:shd w:val="clear" w:color="auto" w:fill="D9D9D9"/>
            <w:vAlign w:val="center"/>
          </w:tcPr>
          <w:p w14:paraId="2A5A2713"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Rules and indicators concerning criteria for projects</w:t>
            </w:r>
          </w:p>
        </w:tc>
        <w:tc>
          <w:tcPr>
            <w:tcW w:w="1386" w:type="dxa"/>
            <w:vAlign w:val="center"/>
          </w:tcPr>
          <w:p w14:paraId="5F99BBA6"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7C0AE8A"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25F4B8CE"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3862740E"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40AFFEC"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1F80E865" w14:textId="77777777" w:rsidTr="003D535D">
        <w:tblPrEx>
          <w:jc w:val="left"/>
        </w:tblPrEx>
        <w:trPr>
          <w:tblHeader/>
        </w:trPr>
        <w:tc>
          <w:tcPr>
            <w:tcW w:w="1398" w:type="dxa"/>
            <w:shd w:val="clear" w:color="auto" w:fill="D9D9D9"/>
            <w:vAlign w:val="center"/>
          </w:tcPr>
          <w:p w14:paraId="5FD88985"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V</w:t>
            </w:r>
          </w:p>
        </w:tc>
        <w:tc>
          <w:tcPr>
            <w:tcW w:w="2989" w:type="dxa"/>
            <w:shd w:val="clear" w:color="auto" w:fill="D9D9D9"/>
            <w:vAlign w:val="center"/>
          </w:tcPr>
          <w:p w14:paraId="1120A7F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Energy system-wide cost-benefit analysis</w:t>
            </w:r>
          </w:p>
        </w:tc>
        <w:tc>
          <w:tcPr>
            <w:tcW w:w="1386" w:type="dxa"/>
            <w:vAlign w:val="center"/>
          </w:tcPr>
          <w:p w14:paraId="2CD91AE8"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FE9FE24"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6EC765F8"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729FD274"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859939D"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r w:rsidR="00E57FB5" w:rsidRPr="0038312D" w14:paraId="1C1AB97C" w14:textId="77777777" w:rsidTr="003D535D">
        <w:tblPrEx>
          <w:jc w:val="left"/>
        </w:tblPrEx>
        <w:trPr>
          <w:tblHeader/>
        </w:trPr>
        <w:tc>
          <w:tcPr>
            <w:tcW w:w="1398" w:type="dxa"/>
            <w:shd w:val="clear" w:color="auto" w:fill="D9D9D9"/>
            <w:vAlign w:val="center"/>
          </w:tcPr>
          <w:p w14:paraId="2F6035FF" w14:textId="77777777" w:rsidR="00E57FB5" w:rsidRPr="0038312D" w:rsidRDefault="00E57FB5" w:rsidP="003D535D">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VI</w:t>
            </w:r>
          </w:p>
        </w:tc>
        <w:tc>
          <w:tcPr>
            <w:tcW w:w="2989" w:type="dxa"/>
            <w:shd w:val="clear" w:color="auto" w:fill="D9D9D9"/>
            <w:vAlign w:val="center"/>
          </w:tcPr>
          <w:p w14:paraId="1904402C" w14:textId="77777777" w:rsidR="00E57FB5" w:rsidRPr="0038312D" w:rsidRDefault="00E57FB5" w:rsidP="003D535D">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Guidelines for transparency and public participation</w:t>
            </w:r>
          </w:p>
        </w:tc>
        <w:tc>
          <w:tcPr>
            <w:tcW w:w="1386" w:type="dxa"/>
            <w:vAlign w:val="center"/>
          </w:tcPr>
          <w:p w14:paraId="531E84DE" w14:textId="77777777" w:rsidR="00E57FB5" w:rsidRPr="0038312D" w:rsidRDefault="00E57FB5" w:rsidP="003D535D">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4DC0AEB" w14:textId="77777777" w:rsidR="00E57FB5" w:rsidRPr="0038312D" w:rsidRDefault="00E57FB5" w:rsidP="003D535D">
            <w:pPr>
              <w:spacing w:after="0" w:line="240" w:lineRule="auto"/>
              <w:rPr>
                <w:rFonts w:ascii="Times New Roman" w:eastAsia="Calibri" w:hAnsi="Times New Roman" w:cs="Times New Roman"/>
                <w:sz w:val="18"/>
                <w:szCs w:val="18"/>
                <w:lang w:val="sr-Cyrl-CS"/>
              </w:rPr>
            </w:pPr>
          </w:p>
        </w:tc>
        <w:tc>
          <w:tcPr>
            <w:tcW w:w="1982" w:type="dxa"/>
          </w:tcPr>
          <w:p w14:paraId="189BC426" w14:textId="77777777" w:rsidR="00E57FB5" w:rsidRPr="0038312D" w:rsidRDefault="00E57FB5" w:rsidP="003D535D">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NU</w:t>
            </w:r>
          </w:p>
        </w:tc>
        <w:tc>
          <w:tcPr>
            <w:tcW w:w="1292" w:type="dxa"/>
            <w:gridSpan w:val="2"/>
            <w:vAlign w:val="center"/>
          </w:tcPr>
          <w:p w14:paraId="2AC09310" w14:textId="77777777" w:rsidR="00E57FB5" w:rsidRPr="0038312D" w:rsidRDefault="00E57FB5" w:rsidP="003D535D">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8D69B90" w14:textId="77777777" w:rsidR="00E57FB5" w:rsidRPr="0038312D" w:rsidRDefault="00E57FB5" w:rsidP="003D535D">
            <w:pPr>
              <w:spacing w:before="120" w:after="120" w:line="240" w:lineRule="auto"/>
              <w:rPr>
                <w:rFonts w:ascii="Times New Roman" w:eastAsia="Calibri" w:hAnsi="Times New Roman" w:cs="Times New Roman"/>
                <w:sz w:val="18"/>
                <w:szCs w:val="18"/>
                <w:lang w:val="sr-Cyrl-CS"/>
              </w:rPr>
            </w:pPr>
          </w:p>
        </w:tc>
      </w:tr>
    </w:tbl>
    <w:p w14:paraId="484A792D" w14:textId="77777777" w:rsidR="00E57FB5" w:rsidRPr="0038312D" w:rsidRDefault="00E57FB5" w:rsidP="0067145E">
      <w:pPr>
        <w:spacing w:after="0" w:line="240" w:lineRule="auto"/>
        <w:rPr>
          <w:rFonts w:ascii="Times New Roman" w:eastAsia="Calibri" w:hAnsi="Times New Roman" w:cs="Times New Roman"/>
          <w:sz w:val="18"/>
          <w:szCs w:val="18"/>
          <w:lang w:val="sr-Cyrl-CS"/>
        </w:rPr>
      </w:pPr>
    </w:p>
    <w:p w14:paraId="6C1796DA" w14:textId="77777777" w:rsidR="00E57FB5" w:rsidRPr="0038312D" w:rsidRDefault="00E57FB5" w:rsidP="0067145E">
      <w:pPr>
        <w:spacing w:after="0" w:line="240" w:lineRule="auto"/>
        <w:rPr>
          <w:rFonts w:ascii="Times New Roman" w:eastAsia="Calibri" w:hAnsi="Times New Roman" w:cs="Times New Roman"/>
          <w:sz w:val="18"/>
          <w:szCs w:val="18"/>
          <w:lang w:val="sr-Cyrl-CS"/>
        </w:rPr>
      </w:pPr>
    </w:p>
    <w:p w14:paraId="60030B6D" w14:textId="77777777" w:rsidR="00E57FB5" w:rsidRPr="0067145E" w:rsidRDefault="00E57FB5">
      <w:pPr>
        <w:rPr>
          <w:rFonts w:ascii="Times New Roman" w:hAnsi="Times New Roman" w:cs="Times New Roman"/>
          <w:sz w:val="18"/>
          <w:szCs w:val="18"/>
        </w:rPr>
      </w:pPr>
    </w:p>
    <w:sectPr w:rsidR="00E57FB5" w:rsidRPr="0067145E" w:rsidSect="00DC11E9">
      <w:headerReference w:type="default" r:id="rId8"/>
      <w:pgSz w:w="16838" w:h="11906" w:orient="landscape" w:code="9"/>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9B7EF" w14:textId="77777777" w:rsidR="00547CD0" w:rsidRDefault="00547CD0" w:rsidP="00834A50">
      <w:pPr>
        <w:spacing w:after="0" w:line="240" w:lineRule="auto"/>
      </w:pPr>
      <w:r>
        <w:separator/>
      </w:r>
    </w:p>
  </w:endnote>
  <w:endnote w:type="continuationSeparator" w:id="0">
    <w:p w14:paraId="64B6899E" w14:textId="77777777" w:rsidR="00547CD0" w:rsidRDefault="00547CD0" w:rsidP="0083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1012E" w14:textId="77777777" w:rsidR="00547CD0" w:rsidRDefault="00547CD0" w:rsidP="00834A50">
      <w:pPr>
        <w:spacing w:after="0" w:line="240" w:lineRule="auto"/>
      </w:pPr>
      <w:r>
        <w:separator/>
      </w:r>
    </w:p>
  </w:footnote>
  <w:footnote w:type="continuationSeparator" w:id="0">
    <w:p w14:paraId="3690EB48" w14:textId="77777777" w:rsidR="00547CD0" w:rsidRDefault="00547CD0" w:rsidP="00834A50">
      <w:pPr>
        <w:spacing w:after="0" w:line="240" w:lineRule="auto"/>
      </w:pPr>
      <w:r>
        <w:continuationSeparator/>
      </w:r>
    </w:p>
  </w:footnote>
  <w:footnote w:id="1">
    <w:p w14:paraId="6FDA3387" w14:textId="77777777" w:rsidR="00E57FB5" w:rsidRPr="00EB2DEA" w:rsidRDefault="00E57FB5" w:rsidP="0067145E">
      <w:pPr>
        <w:pStyle w:val="FootnoteText"/>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Potpuno usklađeno</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PU, delimično usklađeno - DU, neu</w:t>
      </w:r>
      <w:r>
        <w:rPr>
          <w:rFonts w:ascii="Times New Roman" w:hAnsi="Times New Roman" w:cs="Times New Roman"/>
          <w:sz w:val="18"/>
          <w:szCs w:val="18"/>
          <w:lang w:val="sr-Cyrl-CS"/>
        </w:rPr>
        <w:t>sklađeno - NU, neprenosivo – NP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331315"/>
      <w:docPartObj>
        <w:docPartGallery w:val="Page Numbers (Top of Page)"/>
        <w:docPartUnique/>
      </w:docPartObj>
    </w:sdtPr>
    <w:sdtEndPr>
      <w:rPr>
        <w:noProof/>
      </w:rPr>
    </w:sdtEndPr>
    <w:sdtContent>
      <w:p w14:paraId="0EC63392" w14:textId="28128569" w:rsidR="00DC11E9" w:rsidRDefault="00DC11E9">
        <w:pPr>
          <w:pStyle w:val="Header"/>
          <w:jc w:val="center"/>
        </w:pPr>
        <w:r>
          <w:fldChar w:fldCharType="begin"/>
        </w:r>
        <w:r>
          <w:instrText xml:space="preserve"> PAGE   \* MERGEFORMAT </w:instrText>
        </w:r>
        <w:r>
          <w:fldChar w:fldCharType="separate"/>
        </w:r>
        <w:r w:rsidR="00357E0E">
          <w:rPr>
            <w:noProof/>
          </w:rPr>
          <w:t>13</w:t>
        </w:r>
        <w:r>
          <w:rPr>
            <w:noProof/>
          </w:rPr>
          <w:fldChar w:fldCharType="end"/>
        </w:r>
      </w:p>
    </w:sdtContent>
  </w:sdt>
  <w:p w14:paraId="22306A6A" w14:textId="77777777" w:rsidR="00DC11E9" w:rsidRDefault="00DC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A7909"/>
    <w:multiLevelType w:val="hybridMultilevel"/>
    <w:tmpl w:val="9D0A38C6"/>
    <w:lvl w:ilvl="0" w:tplc="3878B54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352771"/>
    <w:multiLevelType w:val="hybridMultilevel"/>
    <w:tmpl w:val="FBA0D968"/>
    <w:lvl w:ilvl="0" w:tplc="F8CAED34">
      <w:start w:val="1"/>
      <w:numFmt w:val="decimal"/>
      <w:suff w:val="space"/>
      <w:lvlText w:val="%1)"/>
      <w:lvlJc w:val="left"/>
      <w:pPr>
        <w:ind w:left="1068" w:hanging="360"/>
      </w:pPr>
      <w:rPr>
        <w:rFonts w:ascii="Times New Roman" w:eastAsiaTheme="minorHAnsi" w:hAnsi="Times New Roman" w:cs="Times New Roman" w:hint="default"/>
        <w:sz w:val="18"/>
        <w:szCs w:val="18"/>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2DFB3C46"/>
    <w:multiLevelType w:val="hybridMultilevel"/>
    <w:tmpl w:val="F2AEC83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14555D6"/>
    <w:multiLevelType w:val="hybridMultilevel"/>
    <w:tmpl w:val="666CB4D4"/>
    <w:lvl w:ilvl="0" w:tplc="74846252">
      <w:start w:val="1"/>
      <w:numFmt w:val="lowerLetter"/>
      <w:lvlText w:val="(%1)"/>
      <w:lvlJc w:val="left"/>
      <w:pPr>
        <w:ind w:left="424" w:hanging="360"/>
      </w:pPr>
      <w:rPr>
        <w:rFonts w:hint="default"/>
      </w:rPr>
    </w:lvl>
    <w:lvl w:ilvl="1" w:tplc="241A0019" w:tentative="1">
      <w:start w:val="1"/>
      <w:numFmt w:val="lowerLetter"/>
      <w:lvlText w:val="%2."/>
      <w:lvlJc w:val="left"/>
      <w:pPr>
        <w:ind w:left="1144" w:hanging="360"/>
      </w:pPr>
    </w:lvl>
    <w:lvl w:ilvl="2" w:tplc="241A001B" w:tentative="1">
      <w:start w:val="1"/>
      <w:numFmt w:val="lowerRoman"/>
      <w:lvlText w:val="%3."/>
      <w:lvlJc w:val="right"/>
      <w:pPr>
        <w:ind w:left="1864" w:hanging="180"/>
      </w:pPr>
    </w:lvl>
    <w:lvl w:ilvl="3" w:tplc="241A000F" w:tentative="1">
      <w:start w:val="1"/>
      <w:numFmt w:val="decimal"/>
      <w:lvlText w:val="%4."/>
      <w:lvlJc w:val="left"/>
      <w:pPr>
        <w:ind w:left="2584" w:hanging="360"/>
      </w:pPr>
    </w:lvl>
    <w:lvl w:ilvl="4" w:tplc="241A0019" w:tentative="1">
      <w:start w:val="1"/>
      <w:numFmt w:val="lowerLetter"/>
      <w:lvlText w:val="%5."/>
      <w:lvlJc w:val="left"/>
      <w:pPr>
        <w:ind w:left="3304" w:hanging="360"/>
      </w:pPr>
    </w:lvl>
    <w:lvl w:ilvl="5" w:tplc="241A001B" w:tentative="1">
      <w:start w:val="1"/>
      <w:numFmt w:val="lowerRoman"/>
      <w:lvlText w:val="%6."/>
      <w:lvlJc w:val="right"/>
      <w:pPr>
        <w:ind w:left="4024" w:hanging="180"/>
      </w:pPr>
    </w:lvl>
    <w:lvl w:ilvl="6" w:tplc="241A000F" w:tentative="1">
      <w:start w:val="1"/>
      <w:numFmt w:val="decimal"/>
      <w:lvlText w:val="%7."/>
      <w:lvlJc w:val="left"/>
      <w:pPr>
        <w:ind w:left="4744" w:hanging="360"/>
      </w:pPr>
    </w:lvl>
    <w:lvl w:ilvl="7" w:tplc="241A0019" w:tentative="1">
      <w:start w:val="1"/>
      <w:numFmt w:val="lowerLetter"/>
      <w:lvlText w:val="%8."/>
      <w:lvlJc w:val="left"/>
      <w:pPr>
        <w:ind w:left="5464" w:hanging="360"/>
      </w:pPr>
    </w:lvl>
    <w:lvl w:ilvl="8" w:tplc="241A001B" w:tentative="1">
      <w:start w:val="1"/>
      <w:numFmt w:val="lowerRoman"/>
      <w:lvlText w:val="%9."/>
      <w:lvlJc w:val="right"/>
      <w:pPr>
        <w:ind w:left="6184" w:hanging="180"/>
      </w:pPr>
    </w:lvl>
  </w:abstractNum>
  <w:abstractNum w:abstractNumId="4" w15:restartNumberingAfterBreak="0">
    <w:nsid w:val="3D843C8C"/>
    <w:multiLevelType w:val="hybridMultilevel"/>
    <w:tmpl w:val="F4FAB1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E0F0FF8"/>
    <w:multiLevelType w:val="hybridMultilevel"/>
    <w:tmpl w:val="8624B13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44E0DBD"/>
    <w:multiLevelType w:val="hybridMultilevel"/>
    <w:tmpl w:val="0510A754"/>
    <w:lvl w:ilvl="0" w:tplc="74EAB478">
      <w:start w:val="1"/>
      <w:numFmt w:val="decimal"/>
      <w:lvlText w:val="(%1)"/>
      <w:lvlJc w:val="left"/>
      <w:pPr>
        <w:ind w:left="424" w:hanging="360"/>
      </w:pPr>
      <w:rPr>
        <w:rFonts w:hint="default"/>
      </w:rPr>
    </w:lvl>
    <w:lvl w:ilvl="1" w:tplc="241A0019" w:tentative="1">
      <w:start w:val="1"/>
      <w:numFmt w:val="lowerLetter"/>
      <w:lvlText w:val="%2."/>
      <w:lvlJc w:val="left"/>
      <w:pPr>
        <w:ind w:left="1144" w:hanging="360"/>
      </w:pPr>
    </w:lvl>
    <w:lvl w:ilvl="2" w:tplc="241A001B" w:tentative="1">
      <w:start w:val="1"/>
      <w:numFmt w:val="lowerRoman"/>
      <w:lvlText w:val="%3."/>
      <w:lvlJc w:val="right"/>
      <w:pPr>
        <w:ind w:left="1864" w:hanging="180"/>
      </w:pPr>
    </w:lvl>
    <w:lvl w:ilvl="3" w:tplc="241A000F" w:tentative="1">
      <w:start w:val="1"/>
      <w:numFmt w:val="decimal"/>
      <w:lvlText w:val="%4."/>
      <w:lvlJc w:val="left"/>
      <w:pPr>
        <w:ind w:left="2584" w:hanging="360"/>
      </w:pPr>
    </w:lvl>
    <w:lvl w:ilvl="4" w:tplc="241A0019" w:tentative="1">
      <w:start w:val="1"/>
      <w:numFmt w:val="lowerLetter"/>
      <w:lvlText w:val="%5."/>
      <w:lvlJc w:val="left"/>
      <w:pPr>
        <w:ind w:left="3304" w:hanging="360"/>
      </w:pPr>
    </w:lvl>
    <w:lvl w:ilvl="5" w:tplc="241A001B" w:tentative="1">
      <w:start w:val="1"/>
      <w:numFmt w:val="lowerRoman"/>
      <w:lvlText w:val="%6."/>
      <w:lvlJc w:val="right"/>
      <w:pPr>
        <w:ind w:left="4024" w:hanging="180"/>
      </w:pPr>
    </w:lvl>
    <w:lvl w:ilvl="6" w:tplc="241A000F" w:tentative="1">
      <w:start w:val="1"/>
      <w:numFmt w:val="decimal"/>
      <w:lvlText w:val="%7."/>
      <w:lvlJc w:val="left"/>
      <w:pPr>
        <w:ind w:left="4744" w:hanging="360"/>
      </w:pPr>
    </w:lvl>
    <w:lvl w:ilvl="7" w:tplc="241A0019" w:tentative="1">
      <w:start w:val="1"/>
      <w:numFmt w:val="lowerLetter"/>
      <w:lvlText w:val="%8."/>
      <w:lvlJc w:val="left"/>
      <w:pPr>
        <w:ind w:left="5464" w:hanging="360"/>
      </w:pPr>
    </w:lvl>
    <w:lvl w:ilvl="8" w:tplc="241A001B" w:tentative="1">
      <w:start w:val="1"/>
      <w:numFmt w:val="lowerRoman"/>
      <w:lvlText w:val="%9."/>
      <w:lvlJc w:val="right"/>
      <w:pPr>
        <w:ind w:left="6184" w:hanging="180"/>
      </w:pPr>
    </w:lvl>
  </w:abstractNum>
  <w:num w:numId="1">
    <w:abstractNumId w:val="4"/>
  </w:num>
  <w:num w:numId="2">
    <w:abstractNumId w:val="2"/>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A50"/>
    <w:rsid w:val="00022992"/>
    <w:rsid w:val="00035808"/>
    <w:rsid w:val="00060CE3"/>
    <w:rsid w:val="00064DDE"/>
    <w:rsid w:val="00092B8C"/>
    <w:rsid w:val="0009654A"/>
    <w:rsid w:val="0009716B"/>
    <w:rsid w:val="000E7AF5"/>
    <w:rsid w:val="0010197F"/>
    <w:rsid w:val="00111137"/>
    <w:rsid w:val="0012337D"/>
    <w:rsid w:val="00180723"/>
    <w:rsid w:val="001B3E89"/>
    <w:rsid w:val="001E06EF"/>
    <w:rsid w:val="002058E0"/>
    <w:rsid w:val="00266D1F"/>
    <w:rsid w:val="00273F49"/>
    <w:rsid w:val="002E6B9D"/>
    <w:rsid w:val="002F7B37"/>
    <w:rsid w:val="0030189B"/>
    <w:rsid w:val="00313511"/>
    <w:rsid w:val="0031622D"/>
    <w:rsid w:val="00352884"/>
    <w:rsid w:val="00353B52"/>
    <w:rsid w:val="00357E0E"/>
    <w:rsid w:val="003658F0"/>
    <w:rsid w:val="0038312D"/>
    <w:rsid w:val="00384A7D"/>
    <w:rsid w:val="003A37DA"/>
    <w:rsid w:val="003A7142"/>
    <w:rsid w:val="003D664C"/>
    <w:rsid w:val="003F499D"/>
    <w:rsid w:val="0041652B"/>
    <w:rsid w:val="00491EA5"/>
    <w:rsid w:val="004B01F7"/>
    <w:rsid w:val="005069BF"/>
    <w:rsid w:val="0050753C"/>
    <w:rsid w:val="00547CD0"/>
    <w:rsid w:val="00553F4F"/>
    <w:rsid w:val="00583677"/>
    <w:rsid w:val="00595FAE"/>
    <w:rsid w:val="005E4D01"/>
    <w:rsid w:val="00602207"/>
    <w:rsid w:val="00684388"/>
    <w:rsid w:val="006F3D04"/>
    <w:rsid w:val="00730CEB"/>
    <w:rsid w:val="0078587C"/>
    <w:rsid w:val="007E5C3F"/>
    <w:rsid w:val="007F4E00"/>
    <w:rsid w:val="008039D5"/>
    <w:rsid w:val="0080688F"/>
    <w:rsid w:val="00813F63"/>
    <w:rsid w:val="00834A50"/>
    <w:rsid w:val="00836967"/>
    <w:rsid w:val="00837751"/>
    <w:rsid w:val="00846A26"/>
    <w:rsid w:val="00897110"/>
    <w:rsid w:val="008A3EB1"/>
    <w:rsid w:val="00905174"/>
    <w:rsid w:val="00950567"/>
    <w:rsid w:val="009B5340"/>
    <w:rsid w:val="009D4E65"/>
    <w:rsid w:val="009F1565"/>
    <w:rsid w:val="009F6FB8"/>
    <w:rsid w:val="00A216FB"/>
    <w:rsid w:val="00A33D55"/>
    <w:rsid w:val="00A439BA"/>
    <w:rsid w:val="00A51C0A"/>
    <w:rsid w:val="00A8597B"/>
    <w:rsid w:val="00AC5D46"/>
    <w:rsid w:val="00B0382F"/>
    <w:rsid w:val="00B27061"/>
    <w:rsid w:val="00B44A98"/>
    <w:rsid w:val="00B565D6"/>
    <w:rsid w:val="00B87D24"/>
    <w:rsid w:val="00B94869"/>
    <w:rsid w:val="00BC6AC9"/>
    <w:rsid w:val="00BF54F9"/>
    <w:rsid w:val="00C35F94"/>
    <w:rsid w:val="00C4320B"/>
    <w:rsid w:val="00C45056"/>
    <w:rsid w:val="00C539C3"/>
    <w:rsid w:val="00C66D6C"/>
    <w:rsid w:val="00C81616"/>
    <w:rsid w:val="00C826BD"/>
    <w:rsid w:val="00CA749E"/>
    <w:rsid w:val="00CC6F5A"/>
    <w:rsid w:val="00D71BFF"/>
    <w:rsid w:val="00DA6599"/>
    <w:rsid w:val="00DC11E9"/>
    <w:rsid w:val="00DD703B"/>
    <w:rsid w:val="00DF093C"/>
    <w:rsid w:val="00E0274C"/>
    <w:rsid w:val="00E0331A"/>
    <w:rsid w:val="00E32783"/>
    <w:rsid w:val="00E51887"/>
    <w:rsid w:val="00E57FB5"/>
    <w:rsid w:val="00E86F59"/>
    <w:rsid w:val="00E90AC1"/>
    <w:rsid w:val="00EB2DEA"/>
    <w:rsid w:val="00EF2731"/>
    <w:rsid w:val="00F120D5"/>
    <w:rsid w:val="00FB3BB5"/>
    <w:rsid w:val="00FC226F"/>
    <w:rsid w:val="00FC3B34"/>
    <w:rsid w:val="00FF7A9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A8D4"/>
  <w15:chartTrackingRefBased/>
  <w15:docId w15:val="{1921EA60-9D92-47AB-B28D-A5C7CE05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3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34A50"/>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34A50"/>
    <w:rPr>
      <w:rFonts w:ascii="Arial" w:eastAsia="Calibri" w:hAnsi="Arial" w:cs="Arial"/>
      <w:sz w:val="20"/>
      <w:szCs w:val="20"/>
      <w:lang w:val="en-US"/>
    </w:rPr>
  </w:style>
  <w:style w:type="character" w:styleId="FootnoteReference">
    <w:name w:val="footnote reference"/>
    <w:basedOn w:val="DefaultParagraphFont"/>
    <w:semiHidden/>
    <w:rsid w:val="00834A50"/>
    <w:rPr>
      <w:vertAlign w:val="superscript"/>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09716B"/>
    <w:pPr>
      <w:ind w:left="720"/>
      <w:contextualSpacing/>
    </w:p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553F4F"/>
  </w:style>
  <w:style w:type="character" w:styleId="CommentReference">
    <w:name w:val="annotation reference"/>
    <w:basedOn w:val="DefaultParagraphFont"/>
    <w:uiPriority w:val="99"/>
    <w:semiHidden/>
    <w:unhideWhenUsed/>
    <w:rsid w:val="00905174"/>
    <w:rPr>
      <w:sz w:val="16"/>
      <w:szCs w:val="16"/>
    </w:rPr>
  </w:style>
  <w:style w:type="paragraph" w:styleId="CommentText">
    <w:name w:val="annotation text"/>
    <w:basedOn w:val="Normal"/>
    <w:link w:val="CommentTextChar"/>
    <w:uiPriority w:val="99"/>
    <w:semiHidden/>
    <w:unhideWhenUsed/>
    <w:rsid w:val="00905174"/>
    <w:pPr>
      <w:spacing w:line="240" w:lineRule="auto"/>
    </w:pPr>
    <w:rPr>
      <w:sz w:val="20"/>
      <w:szCs w:val="20"/>
    </w:rPr>
  </w:style>
  <w:style w:type="character" w:customStyle="1" w:styleId="CommentTextChar">
    <w:name w:val="Comment Text Char"/>
    <w:basedOn w:val="DefaultParagraphFont"/>
    <w:link w:val="CommentText"/>
    <w:uiPriority w:val="99"/>
    <w:semiHidden/>
    <w:rsid w:val="00905174"/>
    <w:rPr>
      <w:sz w:val="20"/>
      <w:szCs w:val="20"/>
    </w:rPr>
  </w:style>
  <w:style w:type="paragraph" w:styleId="CommentSubject">
    <w:name w:val="annotation subject"/>
    <w:basedOn w:val="CommentText"/>
    <w:next w:val="CommentText"/>
    <w:link w:val="CommentSubjectChar"/>
    <w:uiPriority w:val="99"/>
    <w:semiHidden/>
    <w:unhideWhenUsed/>
    <w:rsid w:val="00905174"/>
    <w:rPr>
      <w:b/>
      <w:bCs/>
    </w:rPr>
  </w:style>
  <w:style w:type="character" w:customStyle="1" w:styleId="CommentSubjectChar">
    <w:name w:val="Comment Subject Char"/>
    <w:basedOn w:val="CommentTextChar"/>
    <w:link w:val="CommentSubject"/>
    <w:uiPriority w:val="99"/>
    <w:semiHidden/>
    <w:rsid w:val="00905174"/>
    <w:rPr>
      <w:b/>
      <w:bCs/>
      <w:sz w:val="20"/>
      <w:szCs w:val="20"/>
    </w:rPr>
  </w:style>
  <w:style w:type="paragraph" w:styleId="BalloonText">
    <w:name w:val="Balloon Text"/>
    <w:basedOn w:val="Normal"/>
    <w:link w:val="BalloonTextChar"/>
    <w:uiPriority w:val="99"/>
    <w:semiHidden/>
    <w:unhideWhenUsed/>
    <w:rsid w:val="009051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174"/>
    <w:rPr>
      <w:rFonts w:ascii="Segoe UI" w:hAnsi="Segoe UI" w:cs="Segoe UI"/>
      <w:sz w:val="18"/>
      <w:szCs w:val="18"/>
    </w:rPr>
  </w:style>
  <w:style w:type="paragraph" w:styleId="Header">
    <w:name w:val="header"/>
    <w:basedOn w:val="Normal"/>
    <w:link w:val="HeaderChar"/>
    <w:uiPriority w:val="99"/>
    <w:unhideWhenUsed/>
    <w:rsid w:val="00DC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1E9"/>
  </w:style>
  <w:style w:type="paragraph" w:styleId="Footer">
    <w:name w:val="footer"/>
    <w:basedOn w:val="Normal"/>
    <w:link w:val="FooterChar"/>
    <w:uiPriority w:val="99"/>
    <w:unhideWhenUsed/>
    <w:rsid w:val="00DC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1E9"/>
  </w:style>
  <w:style w:type="character" w:customStyle="1" w:styleId="hps">
    <w:name w:val="hps"/>
    <w:basedOn w:val="DefaultParagraphFont"/>
    <w:rsid w:val="00DC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1621">
      <w:bodyDiv w:val="1"/>
      <w:marLeft w:val="0"/>
      <w:marRight w:val="0"/>
      <w:marTop w:val="0"/>
      <w:marBottom w:val="0"/>
      <w:divBdr>
        <w:top w:val="none" w:sz="0" w:space="0" w:color="auto"/>
        <w:left w:val="none" w:sz="0" w:space="0" w:color="auto"/>
        <w:bottom w:val="none" w:sz="0" w:space="0" w:color="auto"/>
        <w:right w:val="none" w:sz="0" w:space="0" w:color="auto"/>
      </w:divBdr>
    </w:div>
    <w:div w:id="608048441">
      <w:bodyDiv w:val="1"/>
      <w:marLeft w:val="0"/>
      <w:marRight w:val="0"/>
      <w:marTop w:val="0"/>
      <w:marBottom w:val="0"/>
      <w:divBdr>
        <w:top w:val="none" w:sz="0" w:space="0" w:color="auto"/>
        <w:left w:val="none" w:sz="0" w:space="0" w:color="auto"/>
        <w:bottom w:val="none" w:sz="0" w:space="0" w:color="auto"/>
        <w:right w:val="none" w:sz="0" w:space="0" w:color="auto"/>
      </w:divBdr>
    </w:div>
    <w:div w:id="890771956">
      <w:bodyDiv w:val="1"/>
      <w:marLeft w:val="0"/>
      <w:marRight w:val="0"/>
      <w:marTop w:val="0"/>
      <w:marBottom w:val="0"/>
      <w:divBdr>
        <w:top w:val="none" w:sz="0" w:space="0" w:color="auto"/>
        <w:left w:val="none" w:sz="0" w:space="0" w:color="auto"/>
        <w:bottom w:val="none" w:sz="0" w:space="0" w:color="auto"/>
        <w:right w:val="none" w:sz="0" w:space="0" w:color="auto"/>
      </w:divBdr>
      <w:divsChild>
        <w:div w:id="17707246">
          <w:marLeft w:val="0"/>
          <w:marRight w:val="0"/>
          <w:marTop w:val="0"/>
          <w:marBottom w:val="0"/>
          <w:divBdr>
            <w:top w:val="none" w:sz="0" w:space="0" w:color="auto"/>
            <w:left w:val="none" w:sz="0" w:space="0" w:color="auto"/>
            <w:bottom w:val="none" w:sz="0" w:space="0" w:color="auto"/>
            <w:right w:val="none" w:sz="0" w:space="0" w:color="auto"/>
          </w:divBdr>
        </w:div>
        <w:div w:id="1060208175">
          <w:marLeft w:val="0"/>
          <w:marRight w:val="0"/>
          <w:marTop w:val="0"/>
          <w:marBottom w:val="0"/>
          <w:divBdr>
            <w:top w:val="none" w:sz="0" w:space="0" w:color="auto"/>
            <w:left w:val="none" w:sz="0" w:space="0" w:color="auto"/>
            <w:bottom w:val="none" w:sz="0" w:space="0" w:color="auto"/>
            <w:right w:val="none" w:sz="0" w:space="0" w:color="auto"/>
          </w:divBdr>
        </w:div>
        <w:div w:id="1549949653">
          <w:marLeft w:val="0"/>
          <w:marRight w:val="0"/>
          <w:marTop w:val="0"/>
          <w:marBottom w:val="0"/>
          <w:divBdr>
            <w:top w:val="none" w:sz="0" w:space="0" w:color="auto"/>
            <w:left w:val="none" w:sz="0" w:space="0" w:color="auto"/>
            <w:bottom w:val="none" w:sz="0" w:space="0" w:color="auto"/>
            <w:right w:val="none" w:sz="0" w:space="0" w:color="auto"/>
          </w:divBdr>
        </w:div>
      </w:divsChild>
    </w:div>
    <w:div w:id="909996487">
      <w:bodyDiv w:val="1"/>
      <w:marLeft w:val="0"/>
      <w:marRight w:val="0"/>
      <w:marTop w:val="0"/>
      <w:marBottom w:val="0"/>
      <w:divBdr>
        <w:top w:val="none" w:sz="0" w:space="0" w:color="auto"/>
        <w:left w:val="none" w:sz="0" w:space="0" w:color="auto"/>
        <w:bottom w:val="none" w:sz="0" w:space="0" w:color="auto"/>
        <w:right w:val="none" w:sz="0" w:space="0" w:color="auto"/>
      </w:divBdr>
    </w:div>
    <w:div w:id="1239754325">
      <w:bodyDiv w:val="1"/>
      <w:marLeft w:val="0"/>
      <w:marRight w:val="0"/>
      <w:marTop w:val="0"/>
      <w:marBottom w:val="0"/>
      <w:divBdr>
        <w:top w:val="none" w:sz="0" w:space="0" w:color="auto"/>
        <w:left w:val="none" w:sz="0" w:space="0" w:color="auto"/>
        <w:bottom w:val="none" w:sz="0" w:space="0" w:color="auto"/>
        <w:right w:val="none" w:sz="0" w:space="0" w:color="auto"/>
      </w:divBdr>
    </w:div>
    <w:div w:id="2064019054">
      <w:bodyDiv w:val="1"/>
      <w:marLeft w:val="0"/>
      <w:marRight w:val="0"/>
      <w:marTop w:val="0"/>
      <w:marBottom w:val="0"/>
      <w:divBdr>
        <w:top w:val="none" w:sz="0" w:space="0" w:color="auto"/>
        <w:left w:val="none" w:sz="0" w:space="0" w:color="auto"/>
        <w:bottom w:val="none" w:sz="0" w:space="0" w:color="auto"/>
        <w:right w:val="none" w:sz="0" w:space="0" w:color="auto"/>
      </w:divBdr>
    </w:div>
    <w:div w:id="210268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EBE6E-6218-4AFA-AB4A-D0EB1ADE9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3140</Words>
  <Characters>17903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Gurski</dc:creator>
  <cp:keywords/>
  <dc:description/>
  <cp:lastModifiedBy>Aleksandar vojinovic</cp:lastModifiedBy>
  <cp:revision>2</cp:revision>
  <dcterms:created xsi:type="dcterms:W3CDTF">2024-11-08T17:12:00Z</dcterms:created>
  <dcterms:modified xsi:type="dcterms:W3CDTF">2024-11-08T17:12:00Z</dcterms:modified>
</cp:coreProperties>
</file>